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0179A" w14:textId="77777777" w:rsidR="00C51847" w:rsidRPr="00FE7DF2" w:rsidRDefault="00C51847" w:rsidP="00456731">
      <w:pPr>
        <w:pStyle w:val="NoSpacing"/>
      </w:pPr>
    </w:p>
    <w:p w14:paraId="50664257" w14:textId="77777777" w:rsidR="00C51847" w:rsidRDefault="00C51847" w:rsidP="001C20C8">
      <w:pPr>
        <w:autoSpaceDE w:val="0"/>
        <w:autoSpaceDN w:val="0"/>
        <w:adjustRightInd w:val="0"/>
        <w:spacing w:after="0" w:line="240" w:lineRule="auto"/>
        <w:jc w:val="center"/>
        <w:rPr>
          <w:rFonts w:ascii="Arial" w:hAnsi="Arial" w:cs="Arial"/>
          <w:b/>
          <w:bCs/>
          <w:sz w:val="32"/>
          <w:szCs w:val="32"/>
        </w:rPr>
      </w:pPr>
      <w:r w:rsidRPr="00FE7DF2">
        <w:rPr>
          <w:rFonts w:ascii="Arial" w:hAnsi="Arial" w:cs="Arial"/>
          <w:b/>
          <w:bCs/>
          <w:sz w:val="32"/>
          <w:szCs w:val="32"/>
        </w:rPr>
        <w:t xml:space="preserve">GM </w:t>
      </w:r>
      <w:r w:rsidR="00443E98" w:rsidRPr="00FE7DF2">
        <w:rPr>
          <w:rFonts w:ascii="Arial" w:hAnsi="Arial" w:cs="Arial"/>
          <w:b/>
          <w:bCs/>
          <w:sz w:val="32"/>
          <w:szCs w:val="32"/>
        </w:rPr>
        <w:t xml:space="preserve">Reports </w:t>
      </w:r>
      <w:r w:rsidR="007A649F" w:rsidRPr="00FE7DF2">
        <w:rPr>
          <w:rFonts w:ascii="Arial" w:hAnsi="Arial" w:cs="Arial"/>
          <w:b/>
          <w:bCs/>
          <w:sz w:val="32"/>
          <w:szCs w:val="32"/>
        </w:rPr>
        <w:t>2012</w:t>
      </w:r>
      <w:r w:rsidR="005F5C01" w:rsidRPr="00FE7DF2">
        <w:rPr>
          <w:rFonts w:ascii="Arial" w:hAnsi="Arial" w:cs="Arial"/>
          <w:b/>
          <w:bCs/>
          <w:sz w:val="32"/>
          <w:szCs w:val="32"/>
        </w:rPr>
        <w:t xml:space="preserve"> Net Income </w:t>
      </w:r>
      <w:r w:rsidR="00443E98" w:rsidRPr="00FE7DF2">
        <w:rPr>
          <w:rFonts w:ascii="Arial" w:hAnsi="Arial" w:cs="Arial"/>
          <w:b/>
          <w:bCs/>
          <w:sz w:val="32"/>
          <w:szCs w:val="32"/>
        </w:rPr>
        <w:t>of</w:t>
      </w:r>
      <w:r w:rsidR="005F5C01" w:rsidRPr="00FE7DF2">
        <w:rPr>
          <w:rFonts w:ascii="Arial" w:hAnsi="Arial" w:cs="Arial"/>
          <w:b/>
          <w:bCs/>
          <w:sz w:val="32"/>
          <w:szCs w:val="32"/>
        </w:rPr>
        <w:t xml:space="preserve"> </w:t>
      </w:r>
      <w:r w:rsidRPr="00FE7DF2">
        <w:rPr>
          <w:rFonts w:ascii="Arial" w:hAnsi="Arial" w:cs="Arial"/>
          <w:b/>
          <w:bCs/>
          <w:sz w:val="32"/>
          <w:szCs w:val="32"/>
        </w:rPr>
        <w:t>$</w:t>
      </w:r>
      <w:r w:rsidR="00993DAF" w:rsidRPr="00FE7DF2">
        <w:rPr>
          <w:rFonts w:ascii="Arial" w:hAnsi="Arial" w:cs="Arial"/>
          <w:b/>
          <w:bCs/>
          <w:sz w:val="32"/>
          <w:szCs w:val="32"/>
        </w:rPr>
        <w:t>4.</w:t>
      </w:r>
      <w:r w:rsidR="008A12F9">
        <w:rPr>
          <w:rFonts w:ascii="Arial" w:hAnsi="Arial" w:cs="Arial"/>
          <w:b/>
          <w:bCs/>
          <w:sz w:val="32"/>
          <w:szCs w:val="32"/>
        </w:rPr>
        <w:t>9</w:t>
      </w:r>
      <w:r w:rsidRPr="00FE7DF2">
        <w:rPr>
          <w:rFonts w:ascii="Arial" w:hAnsi="Arial" w:cs="Arial"/>
          <w:b/>
          <w:bCs/>
          <w:sz w:val="32"/>
          <w:szCs w:val="32"/>
        </w:rPr>
        <w:t xml:space="preserve"> Billion</w:t>
      </w:r>
    </w:p>
    <w:p w14:paraId="7E0BE3CF" w14:textId="77777777" w:rsidR="0084732C" w:rsidRPr="0084732C" w:rsidRDefault="0084732C" w:rsidP="0084732C">
      <w:pPr>
        <w:autoSpaceDE w:val="0"/>
        <w:autoSpaceDN w:val="0"/>
        <w:adjustRightInd w:val="0"/>
        <w:spacing w:after="0" w:line="240" w:lineRule="auto"/>
        <w:jc w:val="center"/>
        <w:rPr>
          <w:rFonts w:ascii="Arial" w:hAnsi="Arial" w:cs="Arial"/>
          <w:b/>
          <w:i/>
          <w:iCs/>
        </w:rPr>
      </w:pPr>
      <w:r w:rsidRPr="0084732C">
        <w:rPr>
          <w:rFonts w:ascii="Arial" w:hAnsi="Arial" w:cs="Arial"/>
          <w:b/>
          <w:i/>
          <w:iCs/>
        </w:rPr>
        <w:t>Full-year EBIT-adjusted of $7.9 billion</w:t>
      </w:r>
    </w:p>
    <w:p w14:paraId="292F8518" w14:textId="77777777" w:rsidR="00C51847" w:rsidRPr="00FE7DF2" w:rsidRDefault="00C51847" w:rsidP="001C20C8">
      <w:pPr>
        <w:autoSpaceDE w:val="0"/>
        <w:autoSpaceDN w:val="0"/>
        <w:adjustRightInd w:val="0"/>
        <w:spacing w:after="0" w:line="240" w:lineRule="auto"/>
        <w:jc w:val="center"/>
        <w:rPr>
          <w:rFonts w:ascii="Arial" w:hAnsi="Arial" w:cs="Arial"/>
          <w:bCs/>
          <w:i/>
          <w:sz w:val="24"/>
          <w:szCs w:val="24"/>
        </w:rPr>
      </w:pPr>
    </w:p>
    <w:p w14:paraId="1F11BE2A" w14:textId="77777777" w:rsidR="008D3DBB" w:rsidRDefault="008D3DBB" w:rsidP="00827083">
      <w:pPr>
        <w:pStyle w:val="ListParagraph"/>
        <w:numPr>
          <w:ilvl w:val="0"/>
          <w:numId w:val="16"/>
        </w:numPr>
        <w:autoSpaceDE w:val="0"/>
        <w:autoSpaceDN w:val="0"/>
        <w:adjustRightInd w:val="0"/>
        <w:spacing w:after="0" w:line="240" w:lineRule="auto"/>
        <w:rPr>
          <w:rFonts w:ascii="Arial" w:hAnsi="Arial" w:cs="Arial"/>
          <w:iCs/>
        </w:rPr>
      </w:pPr>
      <w:r>
        <w:rPr>
          <w:rFonts w:ascii="Arial" w:hAnsi="Arial" w:cs="Arial"/>
          <w:iCs/>
        </w:rPr>
        <w:t xml:space="preserve">Company posts </w:t>
      </w:r>
      <w:r w:rsidR="009D2FA1">
        <w:rPr>
          <w:rFonts w:ascii="Arial" w:hAnsi="Arial" w:cs="Arial"/>
          <w:iCs/>
        </w:rPr>
        <w:t xml:space="preserve">third </w:t>
      </w:r>
      <w:r>
        <w:rPr>
          <w:rFonts w:ascii="Arial" w:hAnsi="Arial" w:cs="Arial"/>
          <w:iCs/>
        </w:rPr>
        <w:t xml:space="preserve">consecutive </w:t>
      </w:r>
      <w:r w:rsidR="009D2FA1">
        <w:rPr>
          <w:rFonts w:ascii="Arial" w:hAnsi="Arial" w:cs="Arial"/>
          <w:iCs/>
        </w:rPr>
        <w:t>year</w:t>
      </w:r>
      <w:r>
        <w:rPr>
          <w:rFonts w:ascii="Arial" w:hAnsi="Arial" w:cs="Arial"/>
          <w:iCs/>
        </w:rPr>
        <w:t xml:space="preserve"> of </w:t>
      </w:r>
      <w:r w:rsidR="009D2FA1">
        <w:rPr>
          <w:rFonts w:ascii="Arial" w:hAnsi="Arial" w:cs="Arial"/>
          <w:iCs/>
        </w:rPr>
        <w:t xml:space="preserve">strong </w:t>
      </w:r>
      <w:r>
        <w:rPr>
          <w:rFonts w:ascii="Arial" w:hAnsi="Arial" w:cs="Arial"/>
          <w:iCs/>
        </w:rPr>
        <w:t xml:space="preserve">earnings </w:t>
      </w:r>
    </w:p>
    <w:p w14:paraId="06B91FF0" w14:textId="37B7D0C5" w:rsidR="00C122D0" w:rsidRDefault="003339D5" w:rsidP="00827083">
      <w:pPr>
        <w:pStyle w:val="ListParagraph"/>
        <w:numPr>
          <w:ilvl w:val="0"/>
          <w:numId w:val="16"/>
        </w:numPr>
        <w:autoSpaceDE w:val="0"/>
        <w:autoSpaceDN w:val="0"/>
        <w:adjustRightInd w:val="0"/>
        <w:spacing w:after="0" w:line="240" w:lineRule="auto"/>
        <w:rPr>
          <w:rFonts w:ascii="Arial" w:hAnsi="Arial" w:cs="Arial"/>
          <w:shd w:val="clear" w:color="auto" w:fill="FFFFFF"/>
        </w:rPr>
      </w:pPr>
      <w:r w:rsidRPr="00FE7DF2">
        <w:rPr>
          <w:rFonts w:ascii="Arial" w:hAnsi="Arial" w:cs="Arial"/>
          <w:shd w:val="clear" w:color="auto" w:fill="FFFFFF"/>
        </w:rPr>
        <w:t xml:space="preserve">Fourth </w:t>
      </w:r>
      <w:r w:rsidR="005E0942" w:rsidRPr="00FE7DF2">
        <w:rPr>
          <w:rFonts w:ascii="Arial" w:hAnsi="Arial" w:cs="Arial"/>
          <w:shd w:val="clear" w:color="auto" w:fill="FFFFFF"/>
        </w:rPr>
        <w:t>quarter</w:t>
      </w:r>
      <w:r w:rsidR="004E717E" w:rsidRPr="00FE7DF2">
        <w:rPr>
          <w:rFonts w:ascii="Arial" w:hAnsi="Arial" w:cs="Arial"/>
          <w:shd w:val="clear" w:color="auto" w:fill="FFFFFF"/>
        </w:rPr>
        <w:t xml:space="preserve"> net income of </w:t>
      </w:r>
      <w:r w:rsidR="007A649F" w:rsidRPr="00FE7DF2">
        <w:rPr>
          <w:rFonts w:ascii="Arial" w:hAnsi="Arial" w:cs="Arial"/>
          <w:shd w:val="clear" w:color="auto" w:fill="FFFFFF"/>
        </w:rPr>
        <w:t>$</w:t>
      </w:r>
      <w:r w:rsidR="002041A1" w:rsidRPr="00FE7DF2">
        <w:rPr>
          <w:rFonts w:ascii="Arial" w:hAnsi="Arial" w:cs="Arial"/>
          <w:shd w:val="clear" w:color="auto" w:fill="FFFFFF"/>
        </w:rPr>
        <w:t>0.9</w:t>
      </w:r>
      <w:r w:rsidR="007A649F" w:rsidRPr="00FE7DF2">
        <w:rPr>
          <w:rFonts w:ascii="Arial" w:hAnsi="Arial" w:cs="Arial"/>
          <w:shd w:val="clear" w:color="auto" w:fill="FFFFFF"/>
        </w:rPr>
        <w:t xml:space="preserve"> </w:t>
      </w:r>
      <w:r w:rsidR="004E717E" w:rsidRPr="00FE7DF2">
        <w:rPr>
          <w:rFonts w:ascii="Arial" w:hAnsi="Arial" w:cs="Arial"/>
          <w:shd w:val="clear" w:color="auto" w:fill="FFFFFF"/>
        </w:rPr>
        <w:t>billion</w:t>
      </w:r>
      <w:r w:rsidR="00C122D0">
        <w:rPr>
          <w:rFonts w:ascii="Arial" w:hAnsi="Arial" w:cs="Arial"/>
          <w:shd w:val="clear" w:color="auto" w:fill="FFFFFF"/>
        </w:rPr>
        <w:t>, up from $0.</w:t>
      </w:r>
      <w:r w:rsidR="00946DDF">
        <w:rPr>
          <w:rFonts w:ascii="Arial" w:hAnsi="Arial" w:cs="Arial"/>
          <w:shd w:val="clear" w:color="auto" w:fill="FFFFFF"/>
        </w:rPr>
        <w:t>5</w:t>
      </w:r>
      <w:r w:rsidR="00C122D0">
        <w:rPr>
          <w:rFonts w:ascii="Arial" w:hAnsi="Arial" w:cs="Arial"/>
          <w:shd w:val="clear" w:color="auto" w:fill="FFFFFF"/>
        </w:rPr>
        <w:t xml:space="preserve"> billion last year</w:t>
      </w:r>
    </w:p>
    <w:p w14:paraId="070AE307" w14:textId="77777777" w:rsidR="003339D5" w:rsidRPr="00FE7DF2" w:rsidRDefault="003339D5" w:rsidP="00827083">
      <w:pPr>
        <w:pStyle w:val="ListParagraph"/>
        <w:numPr>
          <w:ilvl w:val="0"/>
          <w:numId w:val="16"/>
        </w:numPr>
        <w:autoSpaceDE w:val="0"/>
        <w:autoSpaceDN w:val="0"/>
        <w:adjustRightInd w:val="0"/>
        <w:spacing w:after="0" w:line="240" w:lineRule="auto"/>
        <w:rPr>
          <w:rFonts w:ascii="Arial" w:hAnsi="Arial" w:cs="Arial"/>
          <w:shd w:val="clear" w:color="auto" w:fill="FFFFFF"/>
        </w:rPr>
      </w:pPr>
      <w:r w:rsidRPr="00FE7DF2">
        <w:rPr>
          <w:rFonts w:ascii="Arial" w:hAnsi="Arial" w:cs="Arial"/>
          <w:shd w:val="clear" w:color="auto" w:fill="FFFFFF"/>
        </w:rPr>
        <w:t>EBIT-</w:t>
      </w:r>
      <w:r w:rsidR="00680633" w:rsidRPr="00FE7DF2">
        <w:rPr>
          <w:rFonts w:ascii="Arial" w:hAnsi="Arial" w:cs="Arial"/>
          <w:shd w:val="clear" w:color="auto" w:fill="FFFFFF"/>
        </w:rPr>
        <w:t xml:space="preserve">adjusted </w:t>
      </w:r>
      <w:r w:rsidRPr="00FE7DF2">
        <w:rPr>
          <w:rFonts w:ascii="Arial" w:hAnsi="Arial" w:cs="Arial"/>
          <w:shd w:val="clear" w:color="auto" w:fill="FFFFFF"/>
        </w:rPr>
        <w:t xml:space="preserve">of </w:t>
      </w:r>
      <w:r w:rsidR="007A649F" w:rsidRPr="00FE7DF2">
        <w:rPr>
          <w:rFonts w:ascii="Arial" w:hAnsi="Arial" w:cs="Arial"/>
          <w:shd w:val="clear" w:color="auto" w:fill="FFFFFF"/>
        </w:rPr>
        <w:t>$</w:t>
      </w:r>
      <w:r w:rsidR="002041A1" w:rsidRPr="00FE7DF2">
        <w:rPr>
          <w:rFonts w:ascii="Arial" w:hAnsi="Arial" w:cs="Arial"/>
          <w:shd w:val="clear" w:color="auto" w:fill="FFFFFF"/>
        </w:rPr>
        <w:t>1.2</w:t>
      </w:r>
      <w:r w:rsidR="007A649F" w:rsidRPr="00FE7DF2">
        <w:rPr>
          <w:rFonts w:ascii="Arial" w:hAnsi="Arial" w:cs="Arial"/>
          <w:shd w:val="clear" w:color="auto" w:fill="FFFFFF"/>
        </w:rPr>
        <w:t xml:space="preserve"> </w:t>
      </w:r>
      <w:r w:rsidRPr="00FE7DF2">
        <w:rPr>
          <w:rFonts w:ascii="Arial" w:hAnsi="Arial" w:cs="Arial"/>
          <w:shd w:val="clear" w:color="auto" w:fill="FFFFFF"/>
        </w:rPr>
        <w:t>billion</w:t>
      </w:r>
      <w:r w:rsidR="00C122D0">
        <w:rPr>
          <w:rFonts w:ascii="Arial" w:hAnsi="Arial" w:cs="Arial"/>
          <w:shd w:val="clear" w:color="auto" w:fill="FFFFFF"/>
        </w:rPr>
        <w:t xml:space="preserve"> in the fourth quarter, up from $1.</w:t>
      </w:r>
      <w:r w:rsidR="00BD3FE6">
        <w:rPr>
          <w:rFonts w:ascii="Arial" w:hAnsi="Arial" w:cs="Arial"/>
          <w:shd w:val="clear" w:color="auto" w:fill="FFFFFF"/>
        </w:rPr>
        <w:t>1</w:t>
      </w:r>
      <w:r w:rsidR="00C122D0">
        <w:rPr>
          <w:rFonts w:ascii="Arial" w:hAnsi="Arial" w:cs="Arial"/>
          <w:shd w:val="clear" w:color="auto" w:fill="FFFFFF"/>
        </w:rPr>
        <w:t xml:space="preserve"> billion last year</w:t>
      </w:r>
    </w:p>
    <w:p w14:paraId="47B436CB" w14:textId="77777777" w:rsidR="00014C67" w:rsidRPr="00FE7DF2" w:rsidRDefault="00014C67" w:rsidP="00827083">
      <w:pPr>
        <w:autoSpaceDE w:val="0"/>
        <w:autoSpaceDN w:val="0"/>
        <w:adjustRightInd w:val="0"/>
        <w:spacing w:after="0" w:line="240" w:lineRule="auto"/>
        <w:rPr>
          <w:rFonts w:ascii="Arial" w:hAnsi="Arial" w:cs="Arial"/>
          <w:b/>
          <w:bCs/>
          <w:iCs/>
        </w:rPr>
      </w:pPr>
    </w:p>
    <w:p w14:paraId="67A6ECE0" w14:textId="77777777" w:rsidR="00E86D60" w:rsidRDefault="00C51847" w:rsidP="00571C13">
      <w:pPr>
        <w:autoSpaceDE w:val="0"/>
        <w:autoSpaceDN w:val="0"/>
        <w:adjustRightInd w:val="0"/>
        <w:spacing w:after="0" w:line="240" w:lineRule="auto"/>
        <w:rPr>
          <w:rFonts w:ascii="Arial" w:hAnsi="Arial" w:cs="Arial"/>
        </w:rPr>
      </w:pPr>
      <w:r w:rsidRPr="00FE7DF2">
        <w:rPr>
          <w:rFonts w:ascii="Arial" w:hAnsi="Arial" w:cs="Arial"/>
          <w:b/>
        </w:rPr>
        <w:t>DETROIT</w:t>
      </w:r>
      <w:r w:rsidRPr="00FE7DF2">
        <w:rPr>
          <w:rFonts w:ascii="Arial" w:hAnsi="Arial" w:cs="Arial"/>
        </w:rPr>
        <w:t xml:space="preserve"> – General Motors Co. (NYSE: GM) today announced </w:t>
      </w:r>
      <w:r w:rsidR="007A649F" w:rsidRPr="00FE7DF2">
        <w:rPr>
          <w:rFonts w:ascii="Arial" w:hAnsi="Arial" w:cs="Arial"/>
        </w:rPr>
        <w:t>2012</w:t>
      </w:r>
      <w:r w:rsidR="00F468D3" w:rsidRPr="00FE7DF2">
        <w:rPr>
          <w:rFonts w:ascii="Arial" w:hAnsi="Arial" w:cs="Arial"/>
        </w:rPr>
        <w:t xml:space="preserve"> </w:t>
      </w:r>
      <w:r w:rsidR="00334984" w:rsidRPr="00FE7DF2">
        <w:rPr>
          <w:rFonts w:ascii="Arial" w:hAnsi="Arial" w:cs="Arial"/>
        </w:rPr>
        <w:t>calendar-</w:t>
      </w:r>
      <w:r w:rsidR="00F468D3" w:rsidRPr="00FE7DF2">
        <w:rPr>
          <w:rFonts w:ascii="Arial" w:hAnsi="Arial" w:cs="Arial"/>
        </w:rPr>
        <w:t xml:space="preserve">year </w:t>
      </w:r>
      <w:r w:rsidRPr="00FE7DF2">
        <w:rPr>
          <w:rFonts w:ascii="Arial" w:hAnsi="Arial" w:cs="Arial"/>
        </w:rPr>
        <w:t xml:space="preserve">net income attributable to common stockholders of </w:t>
      </w:r>
      <w:r w:rsidR="007A649F" w:rsidRPr="00FE7DF2">
        <w:rPr>
          <w:rFonts w:ascii="Arial" w:hAnsi="Arial" w:cs="Arial"/>
          <w:iCs/>
        </w:rPr>
        <w:t>$</w:t>
      </w:r>
      <w:r w:rsidR="00993DAF" w:rsidRPr="00FE7DF2">
        <w:rPr>
          <w:rFonts w:ascii="Arial" w:hAnsi="Arial" w:cs="Arial"/>
          <w:iCs/>
        </w:rPr>
        <w:t>4.</w:t>
      </w:r>
      <w:r w:rsidR="008A12F9">
        <w:rPr>
          <w:rFonts w:ascii="Arial" w:hAnsi="Arial" w:cs="Arial"/>
          <w:iCs/>
        </w:rPr>
        <w:t>9</w:t>
      </w:r>
      <w:r w:rsidR="007A649F" w:rsidRPr="00FE7DF2">
        <w:rPr>
          <w:rFonts w:ascii="Arial" w:hAnsi="Arial" w:cs="Arial"/>
          <w:iCs/>
        </w:rPr>
        <w:t xml:space="preserve"> </w:t>
      </w:r>
      <w:r w:rsidR="00827083" w:rsidRPr="00FE7DF2">
        <w:rPr>
          <w:rFonts w:ascii="Arial" w:hAnsi="Arial" w:cs="Arial"/>
        </w:rPr>
        <w:t xml:space="preserve">billion, or </w:t>
      </w:r>
      <w:r w:rsidR="007A649F" w:rsidRPr="00FE7DF2">
        <w:rPr>
          <w:rFonts w:ascii="Arial" w:hAnsi="Arial" w:cs="Arial"/>
          <w:iCs/>
        </w:rPr>
        <w:t>$</w:t>
      </w:r>
      <w:r w:rsidR="002041A1" w:rsidRPr="00FE7DF2">
        <w:rPr>
          <w:rFonts w:ascii="Arial" w:hAnsi="Arial" w:cs="Arial"/>
          <w:iCs/>
        </w:rPr>
        <w:t>2.9</w:t>
      </w:r>
      <w:r w:rsidR="008A12F9">
        <w:rPr>
          <w:rFonts w:ascii="Arial" w:hAnsi="Arial" w:cs="Arial"/>
          <w:iCs/>
        </w:rPr>
        <w:t>2</w:t>
      </w:r>
      <w:r w:rsidR="007A649F" w:rsidRPr="00FE7DF2">
        <w:rPr>
          <w:rFonts w:ascii="Arial" w:hAnsi="Arial" w:cs="Arial"/>
          <w:iCs/>
        </w:rPr>
        <w:t xml:space="preserve"> </w:t>
      </w:r>
      <w:r w:rsidR="00827083" w:rsidRPr="00FE7DF2">
        <w:rPr>
          <w:rFonts w:ascii="Arial" w:hAnsi="Arial" w:cs="Arial"/>
        </w:rPr>
        <w:t xml:space="preserve">per fully </w:t>
      </w:r>
      <w:r w:rsidRPr="00FE7DF2">
        <w:rPr>
          <w:rFonts w:ascii="Arial" w:hAnsi="Arial" w:cs="Arial"/>
        </w:rPr>
        <w:t xml:space="preserve">diluted share, </w:t>
      </w:r>
      <w:r w:rsidR="00993DAF" w:rsidRPr="00FE7DF2">
        <w:rPr>
          <w:rFonts w:ascii="Arial" w:hAnsi="Arial" w:cs="Arial"/>
        </w:rPr>
        <w:t>down</w:t>
      </w:r>
      <w:r w:rsidR="0062222C" w:rsidRPr="00FE7DF2">
        <w:rPr>
          <w:rFonts w:ascii="Arial" w:hAnsi="Arial" w:cs="Arial"/>
        </w:rPr>
        <w:t> from</w:t>
      </w:r>
      <w:r w:rsidRPr="00FE7DF2">
        <w:rPr>
          <w:rFonts w:ascii="Arial" w:hAnsi="Arial" w:cs="Arial"/>
        </w:rPr>
        <w:t xml:space="preserve"> $</w:t>
      </w:r>
      <w:r w:rsidR="007A649F" w:rsidRPr="00FE7DF2">
        <w:rPr>
          <w:rFonts w:ascii="Arial" w:hAnsi="Arial" w:cs="Arial"/>
        </w:rPr>
        <w:t>7.6</w:t>
      </w:r>
      <w:r w:rsidR="00F468D3" w:rsidRPr="00FE7DF2">
        <w:rPr>
          <w:rFonts w:ascii="Arial" w:hAnsi="Arial" w:cs="Arial"/>
        </w:rPr>
        <w:t> </w:t>
      </w:r>
      <w:r w:rsidR="00827083" w:rsidRPr="00FE7DF2">
        <w:rPr>
          <w:rFonts w:ascii="Arial" w:hAnsi="Arial" w:cs="Arial"/>
        </w:rPr>
        <w:t>billion, or $</w:t>
      </w:r>
      <w:r w:rsidR="007A649F" w:rsidRPr="00FE7DF2">
        <w:rPr>
          <w:rFonts w:ascii="Arial" w:hAnsi="Arial" w:cs="Arial"/>
        </w:rPr>
        <w:t>4.58</w:t>
      </w:r>
      <w:r w:rsidR="00827083" w:rsidRPr="00FE7DF2">
        <w:rPr>
          <w:rFonts w:ascii="Arial" w:hAnsi="Arial" w:cs="Arial"/>
        </w:rPr>
        <w:t xml:space="preserve"> per fully </w:t>
      </w:r>
      <w:r w:rsidRPr="00FE7DF2">
        <w:rPr>
          <w:rFonts w:ascii="Arial" w:hAnsi="Arial" w:cs="Arial"/>
        </w:rPr>
        <w:t>diluted share</w:t>
      </w:r>
      <w:r w:rsidR="0062222C" w:rsidRPr="00FE7DF2">
        <w:rPr>
          <w:rFonts w:ascii="Arial" w:hAnsi="Arial" w:cs="Arial"/>
        </w:rPr>
        <w:t xml:space="preserve"> in </w:t>
      </w:r>
      <w:r w:rsidR="007A649F" w:rsidRPr="00FE7DF2">
        <w:rPr>
          <w:rFonts w:ascii="Arial" w:hAnsi="Arial" w:cs="Arial"/>
        </w:rPr>
        <w:t>2011</w:t>
      </w:r>
      <w:r w:rsidR="00406C21">
        <w:rPr>
          <w:rFonts w:ascii="Arial" w:hAnsi="Arial" w:cs="Arial"/>
        </w:rPr>
        <w:t>, due primarily to unfavorable special items</w:t>
      </w:r>
      <w:r w:rsidRPr="00FE7DF2">
        <w:rPr>
          <w:rFonts w:ascii="Arial" w:hAnsi="Arial" w:cs="Arial"/>
        </w:rPr>
        <w:t>.</w:t>
      </w:r>
      <w:r w:rsidR="00ED44A1" w:rsidRPr="00FE7DF2">
        <w:rPr>
          <w:rFonts w:ascii="Arial" w:hAnsi="Arial" w:cs="Arial"/>
        </w:rPr>
        <w:t xml:space="preserve"> </w:t>
      </w:r>
    </w:p>
    <w:p w14:paraId="09DA3322" w14:textId="77777777" w:rsidR="00E86D60" w:rsidRDefault="00E86D60" w:rsidP="00571C13">
      <w:pPr>
        <w:autoSpaceDE w:val="0"/>
        <w:autoSpaceDN w:val="0"/>
        <w:adjustRightInd w:val="0"/>
        <w:spacing w:after="0" w:line="240" w:lineRule="auto"/>
        <w:rPr>
          <w:rFonts w:ascii="Arial" w:hAnsi="Arial" w:cs="Arial"/>
        </w:rPr>
      </w:pPr>
    </w:p>
    <w:p w14:paraId="12E84618" w14:textId="66C542BA" w:rsidR="00C51847" w:rsidRPr="00FE7DF2" w:rsidRDefault="003D5CF7" w:rsidP="00571C13">
      <w:pPr>
        <w:autoSpaceDE w:val="0"/>
        <w:autoSpaceDN w:val="0"/>
        <w:adjustRightInd w:val="0"/>
        <w:spacing w:after="0" w:line="240" w:lineRule="auto"/>
        <w:rPr>
          <w:rFonts w:ascii="Arial" w:hAnsi="Arial" w:cs="Arial"/>
        </w:rPr>
      </w:pPr>
      <w:r>
        <w:rPr>
          <w:rFonts w:ascii="Arial" w:hAnsi="Arial" w:cs="Arial"/>
        </w:rPr>
        <w:t xml:space="preserve">Special items during the calendar year impacted full-year net income </w:t>
      </w:r>
      <w:r w:rsidR="006F7856">
        <w:rPr>
          <w:rFonts w:ascii="Arial" w:hAnsi="Arial" w:cs="Arial"/>
        </w:rPr>
        <w:t xml:space="preserve">to common stockholders </w:t>
      </w:r>
      <w:r>
        <w:rPr>
          <w:rFonts w:ascii="Arial" w:hAnsi="Arial" w:cs="Arial"/>
        </w:rPr>
        <w:t>unfavorably,</w:t>
      </w:r>
      <w:r w:rsidR="009D2FA1" w:rsidRPr="009D2FA1">
        <w:rPr>
          <w:rFonts w:ascii="Arial" w:hAnsi="Arial" w:cs="Arial"/>
        </w:rPr>
        <w:t xml:space="preserve"> </w:t>
      </w:r>
      <w:r w:rsidR="009D2FA1">
        <w:rPr>
          <w:rFonts w:ascii="Arial" w:hAnsi="Arial" w:cs="Arial"/>
        </w:rPr>
        <w:t>$(0.</w:t>
      </w:r>
      <w:r w:rsidR="00287C08">
        <w:rPr>
          <w:rFonts w:ascii="Arial" w:hAnsi="Arial" w:cs="Arial"/>
        </w:rPr>
        <w:t>5</w:t>
      </w:r>
      <w:r w:rsidR="009D2FA1">
        <w:rPr>
          <w:rFonts w:ascii="Arial" w:hAnsi="Arial" w:cs="Arial"/>
        </w:rPr>
        <w:t>) billion, or</w:t>
      </w:r>
      <w:r>
        <w:rPr>
          <w:rFonts w:ascii="Arial" w:hAnsi="Arial" w:cs="Arial"/>
        </w:rPr>
        <w:t xml:space="preserve"> $</w:t>
      </w:r>
      <w:r w:rsidR="006930D1">
        <w:rPr>
          <w:rFonts w:ascii="Arial" w:hAnsi="Arial" w:cs="Arial"/>
        </w:rPr>
        <w:t>(</w:t>
      </w:r>
      <w:r>
        <w:rPr>
          <w:rFonts w:ascii="Arial" w:hAnsi="Arial" w:cs="Arial"/>
        </w:rPr>
        <w:t>0.3</w:t>
      </w:r>
      <w:r w:rsidR="008A12F9">
        <w:rPr>
          <w:rFonts w:ascii="Arial" w:hAnsi="Arial" w:cs="Arial"/>
        </w:rPr>
        <w:t>2</w:t>
      </w:r>
      <w:r w:rsidR="006930D1">
        <w:rPr>
          <w:rFonts w:ascii="Arial" w:hAnsi="Arial" w:cs="Arial"/>
        </w:rPr>
        <w:t>)</w:t>
      </w:r>
      <w:r>
        <w:rPr>
          <w:rFonts w:ascii="Arial" w:hAnsi="Arial" w:cs="Arial"/>
        </w:rPr>
        <w:t xml:space="preserve"> per share, </w:t>
      </w:r>
      <w:r w:rsidR="00E86D60">
        <w:rPr>
          <w:rFonts w:ascii="Arial" w:hAnsi="Arial" w:cs="Arial"/>
        </w:rPr>
        <w:t xml:space="preserve">compared to a favorable </w:t>
      </w:r>
      <w:r w:rsidR="007E7E1D">
        <w:rPr>
          <w:rFonts w:ascii="Arial" w:hAnsi="Arial" w:cs="Arial"/>
        </w:rPr>
        <w:t>$1.</w:t>
      </w:r>
      <w:r w:rsidR="00946DDF">
        <w:rPr>
          <w:rFonts w:ascii="Arial" w:hAnsi="Arial" w:cs="Arial"/>
        </w:rPr>
        <w:t>2</w:t>
      </w:r>
      <w:r w:rsidR="009D2FA1">
        <w:rPr>
          <w:rFonts w:ascii="Arial" w:hAnsi="Arial" w:cs="Arial"/>
        </w:rPr>
        <w:t xml:space="preserve"> billion </w:t>
      </w:r>
      <w:r w:rsidR="00E86D60">
        <w:rPr>
          <w:rFonts w:ascii="Arial" w:hAnsi="Arial" w:cs="Arial"/>
        </w:rPr>
        <w:t>impact in 2011, or</w:t>
      </w:r>
      <w:r w:rsidR="009D2FA1">
        <w:rPr>
          <w:rFonts w:ascii="Arial" w:hAnsi="Arial" w:cs="Arial"/>
        </w:rPr>
        <w:t xml:space="preserve"> $0.70 per share</w:t>
      </w:r>
      <w:r>
        <w:rPr>
          <w:rFonts w:ascii="Arial" w:hAnsi="Arial" w:cs="Arial"/>
        </w:rPr>
        <w:t xml:space="preserve">. </w:t>
      </w:r>
    </w:p>
    <w:p w14:paraId="73D5B6AC" w14:textId="77777777" w:rsidR="00A96F18" w:rsidRPr="00FE7DF2" w:rsidRDefault="00A96F18" w:rsidP="00A96F18">
      <w:pPr>
        <w:autoSpaceDE w:val="0"/>
        <w:autoSpaceDN w:val="0"/>
        <w:adjustRightInd w:val="0"/>
        <w:spacing w:after="0" w:line="240" w:lineRule="auto"/>
        <w:ind w:right="180"/>
        <w:rPr>
          <w:rFonts w:ascii="Arial" w:hAnsi="Arial" w:cs="Arial"/>
        </w:rPr>
      </w:pPr>
    </w:p>
    <w:p w14:paraId="68CDC7E9" w14:textId="77777777" w:rsidR="00C51847" w:rsidRPr="00FE7DF2" w:rsidRDefault="00334984" w:rsidP="005A11DC">
      <w:pPr>
        <w:autoSpaceDE w:val="0"/>
        <w:autoSpaceDN w:val="0"/>
        <w:adjustRightInd w:val="0"/>
        <w:spacing w:after="0" w:line="240" w:lineRule="auto"/>
        <w:ind w:right="180"/>
        <w:rPr>
          <w:rFonts w:ascii="Arial" w:hAnsi="Arial" w:cs="Arial"/>
        </w:rPr>
      </w:pPr>
      <w:r w:rsidRPr="00FE7DF2">
        <w:rPr>
          <w:rFonts w:ascii="Arial" w:hAnsi="Arial" w:cs="Arial"/>
        </w:rPr>
        <w:t>R</w:t>
      </w:r>
      <w:r w:rsidR="00C51847" w:rsidRPr="00FE7DF2">
        <w:rPr>
          <w:rFonts w:ascii="Arial" w:hAnsi="Arial" w:cs="Arial"/>
        </w:rPr>
        <w:t xml:space="preserve">evenue increased </w:t>
      </w:r>
      <w:r w:rsidR="00E86D60">
        <w:rPr>
          <w:rFonts w:ascii="Arial" w:hAnsi="Arial" w:cs="Arial"/>
        </w:rPr>
        <w:t>1</w:t>
      </w:r>
      <w:r w:rsidR="00C51847" w:rsidRPr="00FE7DF2">
        <w:rPr>
          <w:rFonts w:ascii="Arial" w:hAnsi="Arial" w:cs="Arial"/>
        </w:rPr>
        <w:t xml:space="preserve"> percent to $</w:t>
      </w:r>
      <w:r w:rsidR="00993DAF" w:rsidRPr="00FE7DF2">
        <w:rPr>
          <w:rFonts w:ascii="Arial" w:hAnsi="Arial" w:cs="Arial"/>
        </w:rPr>
        <w:t>152.3</w:t>
      </w:r>
      <w:r w:rsidR="00C51847" w:rsidRPr="00FE7DF2">
        <w:rPr>
          <w:rFonts w:ascii="Arial" w:hAnsi="Arial" w:cs="Arial"/>
        </w:rPr>
        <w:t xml:space="preserve"> billion, compared with </w:t>
      </w:r>
      <w:r w:rsidR="00D535D5" w:rsidRPr="00FE7DF2">
        <w:rPr>
          <w:rFonts w:ascii="Arial" w:hAnsi="Arial" w:cs="Arial"/>
        </w:rPr>
        <w:t>$</w:t>
      </w:r>
      <w:r w:rsidR="007A649F" w:rsidRPr="00FE7DF2">
        <w:rPr>
          <w:rFonts w:ascii="Arial" w:hAnsi="Arial" w:cs="Arial"/>
        </w:rPr>
        <w:t>150.3</w:t>
      </w:r>
      <w:r w:rsidR="00D535D5" w:rsidRPr="00FE7DF2">
        <w:rPr>
          <w:rFonts w:ascii="Arial" w:hAnsi="Arial" w:cs="Arial"/>
        </w:rPr>
        <w:t xml:space="preserve"> billion</w:t>
      </w:r>
      <w:r w:rsidRPr="00FE7DF2">
        <w:rPr>
          <w:rFonts w:ascii="Arial" w:hAnsi="Arial" w:cs="Arial"/>
        </w:rPr>
        <w:t xml:space="preserve"> in </w:t>
      </w:r>
      <w:r w:rsidR="007A649F" w:rsidRPr="00FE7DF2">
        <w:rPr>
          <w:rFonts w:ascii="Arial" w:hAnsi="Arial" w:cs="Arial"/>
        </w:rPr>
        <w:t>2011</w:t>
      </w:r>
      <w:r w:rsidR="00C51847" w:rsidRPr="00FE7DF2">
        <w:rPr>
          <w:rFonts w:ascii="Arial" w:hAnsi="Arial" w:cs="Arial"/>
        </w:rPr>
        <w:t>.  Full-year earnings before interest and tax (EBIT) adjusted was $</w:t>
      </w:r>
      <w:r w:rsidR="001F1D4F" w:rsidRPr="00FE7DF2">
        <w:rPr>
          <w:rFonts w:ascii="Arial" w:hAnsi="Arial" w:cs="Arial"/>
        </w:rPr>
        <w:t>7.9</w:t>
      </w:r>
      <w:r w:rsidR="00C51847" w:rsidRPr="00FE7DF2">
        <w:rPr>
          <w:rFonts w:ascii="Arial" w:hAnsi="Arial" w:cs="Arial"/>
        </w:rPr>
        <w:t xml:space="preserve"> billion</w:t>
      </w:r>
      <w:r w:rsidR="008E07F8">
        <w:rPr>
          <w:rFonts w:ascii="Arial" w:hAnsi="Arial" w:cs="Arial"/>
        </w:rPr>
        <w:t xml:space="preserve">, </w:t>
      </w:r>
      <w:r w:rsidR="00C51847" w:rsidRPr="00FE7DF2">
        <w:rPr>
          <w:rFonts w:ascii="Arial" w:hAnsi="Arial" w:cs="Arial"/>
        </w:rPr>
        <w:t>compared with $</w:t>
      </w:r>
      <w:r w:rsidR="007A649F" w:rsidRPr="00FE7DF2">
        <w:rPr>
          <w:rFonts w:ascii="Arial" w:hAnsi="Arial" w:cs="Arial"/>
        </w:rPr>
        <w:t>8.3</w:t>
      </w:r>
      <w:r w:rsidR="00F27879" w:rsidRPr="00FE7DF2">
        <w:rPr>
          <w:rFonts w:ascii="Arial" w:hAnsi="Arial" w:cs="Arial"/>
        </w:rPr>
        <w:t> </w:t>
      </w:r>
      <w:r w:rsidR="00C51847" w:rsidRPr="00FE7DF2">
        <w:rPr>
          <w:rFonts w:ascii="Arial" w:hAnsi="Arial" w:cs="Arial"/>
        </w:rPr>
        <w:t>billion in </w:t>
      </w:r>
      <w:r w:rsidR="007A649F" w:rsidRPr="00FE7DF2">
        <w:rPr>
          <w:rFonts w:ascii="Arial" w:hAnsi="Arial" w:cs="Arial"/>
        </w:rPr>
        <w:t>2011</w:t>
      </w:r>
      <w:r w:rsidR="004E2186" w:rsidRPr="00FE7DF2">
        <w:rPr>
          <w:rFonts w:ascii="Arial" w:hAnsi="Arial" w:cs="Arial"/>
        </w:rPr>
        <w:t xml:space="preserve">. </w:t>
      </w:r>
      <w:r w:rsidR="008E07F8">
        <w:rPr>
          <w:rFonts w:ascii="Arial" w:hAnsi="Arial" w:cs="Arial"/>
        </w:rPr>
        <w:t xml:space="preserve"> Full-year EBIT-adjusted </w:t>
      </w:r>
      <w:r w:rsidR="00EE229D">
        <w:rPr>
          <w:rFonts w:ascii="Arial" w:hAnsi="Arial" w:cs="Arial"/>
        </w:rPr>
        <w:t>for 2012 includes the impact of restructuring charges of</w:t>
      </w:r>
      <w:r w:rsidR="008E07F8">
        <w:rPr>
          <w:rFonts w:ascii="Arial" w:hAnsi="Arial" w:cs="Arial"/>
        </w:rPr>
        <w:t xml:space="preserve"> $</w:t>
      </w:r>
      <w:r w:rsidR="006930D1">
        <w:rPr>
          <w:rFonts w:ascii="Arial" w:hAnsi="Arial" w:cs="Arial"/>
        </w:rPr>
        <w:t>(</w:t>
      </w:r>
      <w:r w:rsidR="008E07F8">
        <w:rPr>
          <w:rFonts w:ascii="Arial" w:hAnsi="Arial" w:cs="Arial"/>
        </w:rPr>
        <w:t>0.4</w:t>
      </w:r>
      <w:r w:rsidR="006930D1">
        <w:rPr>
          <w:rFonts w:ascii="Arial" w:hAnsi="Arial" w:cs="Arial"/>
        </w:rPr>
        <w:t>)</w:t>
      </w:r>
      <w:r w:rsidR="008E07F8">
        <w:rPr>
          <w:rFonts w:ascii="Arial" w:hAnsi="Arial" w:cs="Arial"/>
        </w:rPr>
        <w:t xml:space="preserve"> billion.</w:t>
      </w:r>
    </w:p>
    <w:p w14:paraId="397B3759" w14:textId="77777777" w:rsidR="00C51847" w:rsidRDefault="00C51847" w:rsidP="00571C13">
      <w:pPr>
        <w:autoSpaceDE w:val="0"/>
        <w:autoSpaceDN w:val="0"/>
        <w:adjustRightInd w:val="0"/>
        <w:spacing w:after="0" w:line="240" w:lineRule="auto"/>
        <w:rPr>
          <w:rFonts w:ascii="Arial" w:hAnsi="Arial" w:cs="Arial"/>
        </w:rPr>
      </w:pPr>
    </w:p>
    <w:p w14:paraId="470714EB" w14:textId="77777777" w:rsidR="006D1506" w:rsidRDefault="00914769" w:rsidP="00571C13">
      <w:pPr>
        <w:autoSpaceDE w:val="0"/>
        <w:autoSpaceDN w:val="0"/>
        <w:adjustRightInd w:val="0"/>
        <w:spacing w:after="0" w:line="240" w:lineRule="auto"/>
        <w:rPr>
          <w:rFonts w:ascii="Arial" w:hAnsi="Arial" w:cs="Arial"/>
          <w:color w:val="000000"/>
        </w:rPr>
      </w:pPr>
      <w:r w:rsidRPr="00914769">
        <w:rPr>
          <w:rFonts w:ascii="Arial" w:hAnsi="Arial" w:cs="Arial"/>
          <w:color w:val="000000"/>
        </w:rPr>
        <w:t>“</w:t>
      </w:r>
      <w:r w:rsidR="00245D8E">
        <w:rPr>
          <w:rFonts w:ascii="Arial" w:hAnsi="Arial" w:cs="Arial"/>
          <w:color w:val="000000"/>
        </w:rPr>
        <w:t>W</w:t>
      </w:r>
      <w:r w:rsidR="00D52150">
        <w:rPr>
          <w:rFonts w:ascii="Arial" w:hAnsi="Arial" w:cs="Arial"/>
          <w:color w:val="000000"/>
        </w:rPr>
        <w:t xml:space="preserve">e recorded </w:t>
      </w:r>
      <w:r w:rsidR="009D2CA2">
        <w:rPr>
          <w:rFonts w:ascii="Arial" w:hAnsi="Arial" w:cs="Arial"/>
          <w:color w:val="000000"/>
        </w:rPr>
        <w:t xml:space="preserve">another solid year </w:t>
      </w:r>
      <w:r w:rsidR="00245D8E">
        <w:rPr>
          <w:rFonts w:ascii="Arial" w:hAnsi="Arial" w:cs="Arial"/>
          <w:color w:val="000000"/>
        </w:rPr>
        <w:t xml:space="preserve">in 2012 </w:t>
      </w:r>
      <w:r w:rsidR="009D2CA2">
        <w:rPr>
          <w:rFonts w:ascii="Arial" w:hAnsi="Arial" w:cs="Arial"/>
          <w:color w:val="000000"/>
        </w:rPr>
        <w:t xml:space="preserve">as we </w:t>
      </w:r>
      <w:r w:rsidR="00406C21">
        <w:rPr>
          <w:rFonts w:ascii="Arial" w:hAnsi="Arial" w:cs="Arial"/>
          <w:color w:val="000000"/>
        </w:rPr>
        <w:t xml:space="preserve">grew the business, </w:t>
      </w:r>
      <w:r w:rsidR="009D2CA2">
        <w:rPr>
          <w:rFonts w:ascii="Arial" w:hAnsi="Arial" w:cs="Arial"/>
          <w:color w:val="000000"/>
        </w:rPr>
        <w:t xml:space="preserve">delivered </w:t>
      </w:r>
      <w:r w:rsidR="00245D8E">
        <w:rPr>
          <w:rFonts w:ascii="Arial" w:hAnsi="Arial" w:cs="Arial"/>
          <w:color w:val="000000"/>
        </w:rPr>
        <w:t>a</w:t>
      </w:r>
      <w:r w:rsidR="009D2CA2">
        <w:rPr>
          <w:rFonts w:ascii="Arial" w:hAnsi="Arial" w:cs="Arial"/>
          <w:color w:val="000000"/>
        </w:rPr>
        <w:t xml:space="preserve"> third straight year of profitability</w:t>
      </w:r>
      <w:r w:rsidR="00406C21">
        <w:rPr>
          <w:rFonts w:ascii="Arial" w:hAnsi="Arial" w:cs="Arial"/>
          <w:color w:val="000000"/>
        </w:rPr>
        <w:t xml:space="preserve"> and took</w:t>
      </w:r>
      <w:r w:rsidR="009B0345">
        <w:rPr>
          <w:rFonts w:ascii="Arial" w:hAnsi="Arial" w:cs="Arial"/>
          <w:color w:val="000000"/>
        </w:rPr>
        <w:t xml:space="preserve"> significant actions to put the company on a solid path for future growth,</w:t>
      </w:r>
      <w:r w:rsidRPr="00914769">
        <w:rPr>
          <w:rFonts w:ascii="Arial" w:hAnsi="Arial" w:cs="Arial"/>
          <w:color w:val="000000"/>
        </w:rPr>
        <w:t xml:space="preserve">” said Dan </w:t>
      </w:r>
      <w:proofErr w:type="spellStart"/>
      <w:r w:rsidRPr="00914769">
        <w:rPr>
          <w:rFonts w:ascii="Arial" w:hAnsi="Arial" w:cs="Arial"/>
          <w:color w:val="000000"/>
        </w:rPr>
        <w:t>Akerson</w:t>
      </w:r>
      <w:proofErr w:type="spellEnd"/>
      <w:r w:rsidRPr="00914769">
        <w:rPr>
          <w:rFonts w:ascii="Arial" w:hAnsi="Arial" w:cs="Arial"/>
          <w:color w:val="000000"/>
        </w:rPr>
        <w:t>, chairman and CEO. “</w:t>
      </w:r>
      <w:r w:rsidR="00406C21">
        <w:rPr>
          <w:rFonts w:ascii="Arial" w:hAnsi="Arial" w:cs="Arial"/>
          <w:color w:val="000000"/>
        </w:rPr>
        <w:t xml:space="preserve">This </w:t>
      </w:r>
      <w:r w:rsidRPr="00914769">
        <w:rPr>
          <w:rFonts w:ascii="Arial" w:hAnsi="Arial" w:cs="Arial"/>
          <w:color w:val="000000"/>
        </w:rPr>
        <w:t xml:space="preserve">year our priorities will be executing flawless </w:t>
      </w:r>
      <w:r w:rsidR="00406C21">
        <w:rPr>
          <w:rFonts w:ascii="Arial" w:hAnsi="Arial" w:cs="Arial"/>
          <w:color w:val="000000"/>
        </w:rPr>
        <w:t xml:space="preserve">new vehicle </w:t>
      </w:r>
      <w:r w:rsidRPr="00914769">
        <w:rPr>
          <w:rFonts w:ascii="Arial" w:hAnsi="Arial" w:cs="Arial"/>
          <w:color w:val="000000"/>
        </w:rPr>
        <w:t xml:space="preserve">launches, controlling costs and delivering </w:t>
      </w:r>
      <w:r w:rsidR="00406C21">
        <w:rPr>
          <w:rFonts w:ascii="Arial" w:hAnsi="Arial" w:cs="Arial"/>
          <w:color w:val="000000"/>
        </w:rPr>
        <w:t xml:space="preserve">more vehicles </w:t>
      </w:r>
      <w:r w:rsidR="008958BF">
        <w:rPr>
          <w:rFonts w:ascii="Arial" w:hAnsi="Arial" w:cs="Arial"/>
          <w:color w:val="000000"/>
        </w:rPr>
        <w:t>to our customers at</w:t>
      </w:r>
      <w:r w:rsidR="00406C21">
        <w:rPr>
          <w:rFonts w:ascii="Arial" w:hAnsi="Arial" w:cs="Arial"/>
          <w:color w:val="000000"/>
        </w:rPr>
        <w:t xml:space="preserve"> </w:t>
      </w:r>
      <w:r w:rsidRPr="00914769">
        <w:rPr>
          <w:rFonts w:ascii="Arial" w:hAnsi="Arial" w:cs="Arial"/>
          <w:color w:val="000000"/>
        </w:rPr>
        <w:t>outstanding value.”</w:t>
      </w:r>
    </w:p>
    <w:p w14:paraId="75BA4F10" w14:textId="77777777" w:rsidR="00914769" w:rsidRPr="00914769" w:rsidRDefault="00914769" w:rsidP="00571C13">
      <w:pPr>
        <w:autoSpaceDE w:val="0"/>
        <w:autoSpaceDN w:val="0"/>
        <w:adjustRightInd w:val="0"/>
        <w:spacing w:after="0" w:line="240" w:lineRule="auto"/>
        <w:rPr>
          <w:rFonts w:ascii="Arial" w:hAnsi="Arial" w:cs="Arial"/>
        </w:rPr>
      </w:pPr>
    </w:p>
    <w:p w14:paraId="077814E6" w14:textId="77777777" w:rsidR="008A5B79" w:rsidRPr="00FE7DF2" w:rsidRDefault="008A5B79" w:rsidP="008A5B79">
      <w:pPr>
        <w:autoSpaceDE w:val="0"/>
        <w:autoSpaceDN w:val="0"/>
        <w:adjustRightInd w:val="0"/>
        <w:spacing w:after="0" w:line="240" w:lineRule="auto"/>
        <w:rPr>
          <w:rFonts w:ascii="Arial" w:hAnsi="Arial" w:cs="Arial"/>
          <w:sz w:val="16"/>
          <w:szCs w:val="16"/>
        </w:rPr>
      </w:pPr>
      <w:r w:rsidRPr="00FE7DF2">
        <w:rPr>
          <w:rFonts w:ascii="Arial" w:hAnsi="Arial" w:cs="Arial"/>
          <w:b/>
        </w:rPr>
        <w:t xml:space="preserve">Overview </w:t>
      </w:r>
      <w:r w:rsidRPr="00FE7DF2">
        <w:rPr>
          <w:rFonts w:ascii="Arial" w:hAnsi="Arial" w:cs="Arial"/>
          <w:sz w:val="16"/>
          <w:szCs w:val="16"/>
        </w:rPr>
        <w:t>(in billions except for per share amounts)</w:t>
      </w:r>
    </w:p>
    <w:p w14:paraId="24C6673D" w14:textId="77777777" w:rsidR="008A5B79" w:rsidRPr="00FE7DF2" w:rsidRDefault="008A5B79" w:rsidP="008A5B79">
      <w:pPr>
        <w:autoSpaceDE w:val="0"/>
        <w:autoSpaceDN w:val="0"/>
        <w:adjustRightInd w:val="0"/>
        <w:spacing w:after="0" w:line="240" w:lineRule="auto"/>
        <w:rPr>
          <w:rFonts w:ascii="Arial" w:hAnsi="Arial" w:cs="Arial"/>
          <w:sz w:val="20"/>
          <w:szCs w:val="20"/>
        </w:rPr>
      </w:pPr>
    </w:p>
    <w:tbl>
      <w:tblPr>
        <w:tblW w:w="0" w:type="auto"/>
        <w:tblLook w:val="00A0" w:firstRow="1" w:lastRow="0" w:firstColumn="1" w:lastColumn="0" w:noHBand="0" w:noVBand="0"/>
      </w:tblPr>
      <w:tblGrid>
        <w:gridCol w:w="2448"/>
        <w:gridCol w:w="270"/>
        <w:gridCol w:w="1260"/>
        <w:gridCol w:w="1350"/>
        <w:gridCol w:w="270"/>
        <w:gridCol w:w="1800"/>
        <w:gridCol w:w="1890"/>
      </w:tblGrid>
      <w:tr w:rsidR="00FE7DF2" w:rsidRPr="00FE7DF2" w14:paraId="051CD144" w14:textId="77777777" w:rsidTr="00E84510">
        <w:tc>
          <w:tcPr>
            <w:tcW w:w="2448" w:type="dxa"/>
          </w:tcPr>
          <w:p w14:paraId="6A736507" w14:textId="77777777" w:rsidR="008A5B79" w:rsidRPr="00FE7DF2" w:rsidRDefault="008A5B79" w:rsidP="00183528">
            <w:pPr>
              <w:spacing w:after="0" w:line="240" w:lineRule="auto"/>
              <w:rPr>
                <w:rFonts w:ascii="Arial" w:hAnsi="Arial" w:cs="Arial"/>
                <w:b/>
                <w:sz w:val="18"/>
                <w:szCs w:val="18"/>
              </w:rPr>
            </w:pPr>
          </w:p>
        </w:tc>
        <w:tc>
          <w:tcPr>
            <w:tcW w:w="270" w:type="dxa"/>
          </w:tcPr>
          <w:p w14:paraId="67F79D86" w14:textId="77777777" w:rsidR="008A5B79" w:rsidRPr="00FE7DF2" w:rsidRDefault="008A5B79" w:rsidP="00183528">
            <w:pPr>
              <w:spacing w:after="0" w:line="240" w:lineRule="auto"/>
              <w:rPr>
                <w:rFonts w:ascii="Arial" w:hAnsi="Arial" w:cs="Arial"/>
                <w:b/>
                <w:sz w:val="18"/>
                <w:szCs w:val="18"/>
              </w:rPr>
            </w:pPr>
          </w:p>
        </w:tc>
        <w:tc>
          <w:tcPr>
            <w:tcW w:w="1260" w:type="dxa"/>
            <w:vAlign w:val="center"/>
          </w:tcPr>
          <w:p w14:paraId="216311AC" w14:textId="77777777" w:rsidR="008A5B79" w:rsidRPr="00FE7DF2" w:rsidRDefault="008A5B79" w:rsidP="00183528">
            <w:pPr>
              <w:spacing w:after="0" w:line="240" w:lineRule="auto"/>
              <w:jc w:val="center"/>
              <w:rPr>
                <w:rFonts w:ascii="Arial" w:hAnsi="Arial" w:cs="Arial"/>
                <w:b/>
                <w:sz w:val="18"/>
                <w:szCs w:val="18"/>
              </w:rPr>
            </w:pPr>
            <w:r w:rsidRPr="00FE7DF2">
              <w:rPr>
                <w:rFonts w:ascii="Arial" w:hAnsi="Arial" w:cs="Arial"/>
                <w:b/>
                <w:sz w:val="18"/>
                <w:szCs w:val="18"/>
              </w:rPr>
              <w:t xml:space="preserve">Q4 </w:t>
            </w:r>
            <w:r w:rsidR="007A649F" w:rsidRPr="00FE7DF2">
              <w:rPr>
                <w:rFonts w:ascii="Arial" w:hAnsi="Arial" w:cs="Arial"/>
                <w:b/>
                <w:sz w:val="18"/>
                <w:szCs w:val="18"/>
              </w:rPr>
              <w:t>2011</w:t>
            </w:r>
          </w:p>
        </w:tc>
        <w:tc>
          <w:tcPr>
            <w:tcW w:w="1350" w:type="dxa"/>
            <w:vAlign w:val="center"/>
          </w:tcPr>
          <w:p w14:paraId="70A9ADDA" w14:textId="77777777" w:rsidR="008A5B79" w:rsidRPr="00FE7DF2" w:rsidRDefault="008A5B79" w:rsidP="00183528">
            <w:pPr>
              <w:spacing w:after="0" w:line="240" w:lineRule="auto"/>
              <w:jc w:val="center"/>
              <w:rPr>
                <w:rFonts w:ascii="Arial" w:hAnsi="Arial" w:cs="Arial"/>
                <w:b/>
                <w:sz w:val="18"/>
                <w:szCs w:val="18"/>
              </w:rPr>
            </w:pPr>
            <w:r w:rsidRPr="00FE7DF2">
              <w:rPr>
                <w:rFonts w:ascii="Arial" w:hAnsi="Arial" w:cs="Arial"/>
                <w:b/>
                <w:sz w:val="18"/>
                <w:szCs w:val="18"/>
              </w:rPr>
              <w:t xml:space="preserve">Q4 </w:t>
            </w:r>
            <w:r w:rsidR="007A649F" w:rsidRPr="00FE7DF2">
              <w:rPr>
                <w:rFonts w:ascii="Arial" w:hAnsi="Arial" w:cs="Arial"/>
                <w:b/>
                <w:sz w:val="18"/>
                <w:szCs w:val="18"/>
              </w:rPr>
              <w:t>2012</w:t>
            </w:r>
          </w:p>
        </w:tc>
        <w:tc>
          <w:tcPr>
            <w:tcW w:w="270" w:type="dxa"/>
            <w:vAlign w:val="center"/>
          </w:tcPr>
          <w:p w14:paraId="387F7124" w14:textId="77777777" w:rsidR="008A5B79" w:rsidRPr="00FE7DF2" w:rsidRDefault="008A5B79" w:rsidP="00183528">
            <w:pPr>
              <w:spacing w:after="0" w:line="240" w:lineRule="auto"/>
              <w:jc w:val="center"/>
              <w:rPr>
                <w:rFonts w:ascii="Arial" w:hAnsi="Arial" w:cs="Arial"/>
                <w:b/>
                <w:sz w:val="18"/>
                <w:szCs w:val="18"/>
              </w:rPr>
            </w:pPr>
          </w:p>
        </w:tc>
        <w:tc>
          <w:tcPr>
            <w:tcW w:w="1800" w:type="dxa"/>
            <w:vAlign w:val="center"/>
          </w:tcPr>
          <w:p w14:paraId="0C24501E" w14:textId="77777777" w:rsidR="008A5B79" w:rsidRPr="00FE7DF2" w:rsidRDefault="008A5B79" w:rsidP="00183528">
            <w:pPr>
              <w:spacing w:after="0" w:line="240" w:lineRule="auto"/>
              <w:jc w:val="center"/>
              <w:rPr>
                <w:rFonts w:ascii="Arial" w:hAnsi="Arial" w:cs="Arial"/>
                <w:b/>
                <w:sz w:val="18"/>
                <w:szCs w:val="18"/>
              </w:rPr>
            </w:pPr>
            <w:r w:rsidRPr="00FE7DF2">
              <w:rPr>
                <w:rFonts w:ascii="Arial" w:hAnsi="Arial" w:cs="Arial"/>
                <w:b/>
                <w:sz w:val="18"/>
                <w:szCs w:val="18"/>
              </w:rPr>
              <w:t xml:space="preserve">Full-year </w:t>
            </w:r>
            <w:r w:rsidR="007A649F" w:rsidRPr="00FE7DF2">
              <w:rPr>
                <w:rFonts w:ascii="Arial" w:hAnsi="Arial" w:cs="Arial"/>
                <w:b/>
                <w:sz w:val="18"/>
                <w:szCs w:val="18"/>
              </w:rPr>
              <w:t>2011</w:t>
            </w:r>
          </w:p>
        </w:tc>
        <w:tc>
          <w:tcPr>
            <w:tcW w:w="1890" w:type="dxa"/>
            <w:vAlign w:val="center"/>
          </w:tcPr>
          <w:p w14:paraId="682240CC" w14:textId="77777777" w:rsidR="008A5B79" w:rsidRPr="00FE7DF2" w:rsidRDefault="008A5B79" w:rsidP="00183528">
            <w:pPr>
              <w:spacing w:after="0" w:line="240" w:lineRule="auto"/>
              <w:jc w:val="center"/>
              <w:rPr>
                <w:rFonts w:ascii="Arial" w:hAnsi="Arial" w:cs="Arial"/>
                <w:b/>
                <w:sz w:val="18"/>
                <w:szCs w:val="18"/>
              </w:rPr>
            </w:pPr>
            <w:r w:rsidRPr="00FE7DF2">
              <w:rPr>
                <w:rFonts w:ascii="Arial" w:hAnsi="Arial" w:cs="Arial"/>
                <w:b/>
                <w:sz w:val="18"/>
                <w:szCs w:val="18"/>
              </w:rPr>
              <w:t xml:space="preserve">Full-year </w:t>
            </w:r>
            <w:r w:rsidR="007A649F" w:rsidRPr="00FE7DF2">
              <w:rPr>
                <w:rFonts w:ascii="Arial" w:hAnsi="Arial" w:cs="Arial"/>
                <w:b/>
                <w:sz w:val="18"/>
                <w:szCs w:val="18"/>
              </w:rPr>
              <w:t>2012</w:t>
            </w:r>
          </w:p>
        </w:tc>
      </w:tr>
      <w:tr w:rsidR="00FE7DF2" w:rsidRPr="00FE7DF2" w14:paraId="6F59F791" w14:textId="77777777" w:rsidTr="00E84510">
        <w:tc>
          <w:tcPr>
            <w:tcW w:w="2448" w:type="dxa"/>
            <w:vAlign w:val="center"/>
          </w:tcPr>
          <w:p w14:paraId="3D94DA8C" w14:textId="77777777" w:rsidR="008A5B79" w:rsidRPr="00FE7DF2" w:rsidRDefault="008A5B79" w:rsidP="00183528">
            <w:pPr>
              <w:spacing w:after="0" w:line="240" w:lineRule="auto"/>
              <w:rPr>
                <w:rFonts w:ascii="Arial" w:hAnsi="Arial" w:cs="Arial"/>
                <w:b/>
                <w:sz w:val="18"/>
                <w:szCs w:val="18"/>
              </w:rPr>
            </w:pPr>
          </w:p>
        </w:tc>
        <w:tc>
          <w:tcPr>
            <w:tcW w:w="270" w:type="dxa"/>
          </w:tcPr>
          <w:p w14:paraId="1290F338" w14:textId="77777777" w:rsidR="008A5B79" w:rsidRPr="00FE7DF2" w:rsidRDefault="008A5B79" w:rsidP="00183528">
            <w:pPr>
              <w:spacing w:after="0" w:line="240" w:lineRule="auto"/>
              <w:rPr>
                <w:rFonts w:ascii="Arial" w:hAnsi="Arial" w:cs="Arial"/>
                <w:sz w:val="18"/>
                <w:szCs w:val="18"/>
              </w:rPr>
            </w:pPr>
          </w:p>
        </w:tc>
        <w:tc>
          <w:tcPr>
            <w:tcW w:w="1260" w:type="dxa"/>
            <w:vAlign w:val="center"/>
          </w:tcPr>
          <w:p w14:paraId="5DCF7453" w14:textId="77777777" w:rsidR="008A5B79" w:rsidRPr="00FE7DF2" w:rsidRDefault="008A5B79" w:rsidP="00183528">
            <w:pPr>
              <w:spacing w:after="0" w:line="240" w:lineRule="auto"/>
              <w:jc w:val="center"/>
              <w:rPr>
                <w:rFonts w:ascii="Arial" w:hAnsi="Arial" w:cs="Arial"/>
                <w:sz w:val="18"/>
                <w:szCs w:val="18"/>
              </w:rPr>
            </w:pPr>
          </w:p>
        </w:tc>
        <w:tc>
          <w:tcPr>
            <w:tcW w:w="1350" w:type="dxa"/>
            <w:vAlign w:val="center"/>
          </w:tcPr>
          <w:p w14:paraId="7AAE6AD7" w14:textId="77777777" w:rsidR="008A5B79" w:rsidRPr="00FE7DF2" w:rsidRDefault="008A5B79" w:rsidP="00183528">
            <w:pPr>
              <w:spacing w:after="0" w:line="240" w:lineRule="auto"/>
              <w:jc w:val="center"/>
              <w:rPr>
                <w:rFonts w:ascii="Arial" w:hAnsi="Arial" w:cs="Arial"/>
                <w:sz w:val="18"/>
                <w:szCs w:val="18"/>
              </w:rPr>
            </w:pPr>
          </w:p>
        </w:tc>
        <w:tc>
          <w:tcPr>
            <w:tcW w:w="270" w:type="dxa"/>
          </w:tcPr>
          <w:p w14:paraId="1045C061" w14:textId="77777777" w:rsidR="008A5B79" w:rsidRPr="00FE7DF2" w:rsidRDefault="008A5B79" w:rsidP="00183528">
            <w:pPr>
              <w:spacing w:after="0" w:line="240" w:lineRule="auto"/>
              <w:rPr>
                <w:rFonts w:ascii="Arial" w:hAnsi="Arial" w:cs="Arial"/>
                <w:sz w:val="18"/>
                <w:szCs w:val="18"/>
              </w:rPr>
            </w:pPr>
          </w:p>
        </w:tc>
        <w:tc>
          <w:tcPr>
            <w:tcW w:w="1800" w:type="dxa"/>
            <w:vAlign w:val="center"/>
          </w:tcPr>
          <w:p w14:paraId="5EF20FE5" w14:textId="77777777" w:rsidR="008A5B79" w:rsidRPr="00FE7DF2" w:rsidRDefault="008A5B79" w:rsidP="00183528">
            <w:pPr>
              <w:spacing w:after="0" w:line="240" w:lineRule="auto"/>
              <w:jc w:val="center"/>
              <w:rPr>
                <w:rFonts w:ascii="Arial" w:hAnsi="Arial" w:cs="Arial"/>
                <w:sz w:val="18"/>
                <w:szCs w:val="18"/>
              </w:rPr>
            </w:pPr>
          </w:p>
        </w:tc>
        <w:tc>
          <w:tcPr>
            <w:tcW w:w="1890" w:type="dxa"/>
            <w:vAlign w:val="center"/>
          </w:tcPr>
          <w:p w14:paraId="0758A90C" w14:textId="77777777" w:rsidR="008A5B79" w:rsidRPr="00FE7DF2" w:rsidRDefault="008A5B79" w:rsidP="00183528">
            <w:pPr>
              <w:spacing w:after="0" w:line="240" w:lineRule="auto"/>
              <w:jc w:val="center"/>
              <w:rPr>
                <w:rFonts w:ascii="Arial" w:hAnsi="Arial" w:cs="Arial"/>
                <w:sz w:val="18"/>
                <w:szCs w:val="18"/>
              </w:rPr>
            </w:pPr>
          </w:p>
        </w:tc>
      </w:tr>
      <w:tr w:rsidR="00FE7DF2" w:rsidRPr="00FE7DF2" w14:paraId="11C6A878" w14:textId="77777777" w:rsidTr="00E84510">
        <w:tc>
          <w:tcPr>
            <w:tcW w:w="2448" w:type="dxa"/>
            <w:vAlign w:val="center"/>
          </w:tcPr>
          <w:p w14:paraId="697B5715" w14:textId="77777777" w:rsidR="008A5B79" w:rsidRPr="00FE7DF2" w:rsidRDefault="008A5B79" w:rsidP="00183528">
            <w:pPr>
              <w:spacing w:after="0" w:line="240" w:lineRule="auto"/>
              <w:rPr>
                <w:rFonts w:ascii="Arial" w:hAnsi="Arial" w:cs="Arial"/>
                <w:b/>
                <w:sz w:val="18"/>
                <w:szCs w:val="18"/>
              </w:rPr>
            </w:pPr>
            <w:r w:rsidRPr="00FE7DF2">
              <w:rPr>
                <w:rFonts w:ascii="Arial" w:hAnsi="Arial" w:cs="Arial"/>
                <w:b/>
                <w:sz w:val="18"/>
                <w:szCs w:val="18"/>
              </w:rPr>
              <w:t>Revenue</w:t>
            </w:r>
          </w:p>
        </w:tc>
        <w:tc>
          <w:tcPr>
            <w:tcW w:w="270" w:type="dxa"/>
          </w:tcPr>
          <w:p w14:paraId="3BC89F90" w14:textId="77777777" w:rsidR="008A5B79" w:rsidRPr="00FE7DF2" w:rsidRDefault="008A5B79" w:rsidP="00183528">
            <w:pPr>
              <w:spacing w:after="0" w:line="240" w:lineRule="auto"/>
              <w:rPr>
                <w:rFonts w:ascii="Arial" w:hAnsi="Arial" w:cs="Arial"/>
                <w:sz w:val="18"/>
                <w:szCs w:val="18"/>
              </w:rPr>
            </w:pPr>
          </w:p>
        </w:tc>
        <w:tc>
          <w:tcPr>
            <w:tcW w:w="1260" w:type="dxa"/>
            <w:vAlign w:val="center"/>
          </w:tcPr>
          <w:p w14:paraId="1A9E3679" w14:textId="77777777" w:rsidR="008A5B79" w:rsidRPr="00FE7DF2" w:rsidRDefault="007A649F" w:rsidP="00183528">
            <w:pPr>
              <w:spacing w:after="0" w:line="240" w:lineRule="auto"/>
              <w:jc w:val="center"/>
              <w:rPr>
                <w:rFonts w:ascii="Arial" w:hAnsi="Arial" w:cs="Arial"/>
                <w:sz w:val="18"/>
                <w:szCs w:val="18"/>
              </w:rPr>
            </w:pPr>
            <w:r w:rsidRPr="00FE7DF2">
              <w:rPr>
                <w:rFonts w:ascii="Arial" w:hAnsi="Arial" w:cs="Arial"/>
                <w:sz w:val="18"/>
                <w:szCs w:val="18"/>
              </w:rPr>
              <w:t>$38.0</w:t>
            </w:r>
          </w:p>
        </w:tc>
        <w:tc>
          <w:tcPr>
            <w:tcW w:w="1350" w:type="dxa"/>
            <w:vAlign w:val="center"/>
          </w:tcPr>
          <w:p w14:paraId="429C8DA8" w14:textId="77777777" w:rsidR="008A5B79" w:rsidRPr="00FE7DF2" w:rsidRDefault="00E31351" w:rsidP="00183528">
            <w:pPr>
              <w:spacing w:after="0" w:line="240" w:lineRule="auto"/>
              <w:jc w:val="center"/>
              <w:rPr>
                <w:rFonts w:ascii="Arial" w:hAnsi="Arial" w:cs="Arial"/>
                <w:sz w:val="18"/>
                <w:szCs w:val="18"/>
              </w:rPr>
            </w:pPr>
            <w:r w:rsidRPr="00FE7DF2">
              <w:rPr>
                <w:rFonts w:ascii="Arial" w:hAnsi="Arial" w:cs="Arial"/>
                <w:sz w:val="18"/>
                <w:szCs w:val="18"/>
              </w:rPr>
              <w:t>$39.3</w:t>
            </w:r>
          </w:p>
        </w:tc>
        <w:tc>
          <w:tcPr>
            <w:tcW w:w="270" w:type="dxa"/>
          </w:tcPr>
          <w:p w14:paraId="0AF34DBC" w14:textId="77777777" w:rsidR="008A5B79" w:rsidRPr="00FE7DF2" w:rsidRDefault="008A5B79" w:rsidP="00183528">
            <w:pPr>
              <w:spacing w:after="0" w:line="240" w:lineRule="auto"/>
              <w:rPr>
                <w:rFonts w:ascii="Arial" w:hAnsi="Arial" w:cs="Arial"/>
                <w:sz w:val="18"/>
                <w:szCs w:val="18"/>
              </w:rPr>
            </w:pPr>
          </w:p>
        </w:tc>
        <w:tc>
          <w:tcPr>
            <w:tcW w:w="1800" w:type="dxa"/>
            <w:vAlign w:val="center"/>
          </w:tcPr>
          <w:p w14:paraId="32F9E7C2" w14:textId="77777777" w:rsidR="008A5B79" w:rsidRPr="00FE7DF2" w:rsidRDefault="008A5B79" w:rsidP="007A649F">
            <w:pPr>
              <w:spacing w:after="0" w:line="240" w:lineRule="auto"/>
              <w:jc w:val="center"/>
              <w:rPr>
                <w:rFonts w:ascii="Arial" w:hAnsi="Arial" w:cs="Arial"/>
                <w:sz w:val="18"/>
                <w:szCs w:val="18"/>
              </w:rPr>
            </w:pPr>
            <w:r w:rsidRPr="00FE7DF2">
              <w:rPr>
                <w:rFonts w:ascii="Arial" w:hAnsi="Arial" w:cs="Arial"/>
                <w:sz w:val="18"/>
                <w:szCs w:val="18"/>
              </w:rPr>
              <w:t>$</w:t>
            </w:r>
            <w:r w:rsidR="007A649F" w:rsidRPr="00FE7DF2">
              <w:rPr>
                <w:rFonts w:ascii="Arial" w:hAnsi="Arial" w:cs="Arial"/>
                <w:sz w:val="18"/>
                <w:szCs w:val="18"/>
              </w:rPr>
              <w:t>150.3</w:t>
            </w:r>
          </w:p>
        </w:tc>
        <w:tc>
          <w:tcPr>
            <w:tcW w:w="1890" w:type="dxa"/>
            <w:vAlign w:val="center"/>
          </w:tcPr>
          <w:p w14:paraId="383CDBBD" w14:textId="77777777" w:rsidR="008A5B79" w:rsidRPr="00FE7DF2" w:rsidRDefault="00AE55AB" w:rsidP="00183528">
            <w:pPr>
              <w:spacing w:after="0" w:line="240" w:lineRule="auto"/>
              <w:jc w:val="center"/>
              <w:rPr>
                <w:rFonts w:ascii="Arial" w:hAnsi="Arial" w:cs="Arial"/>
                <w:sz w:val="18"/>
                <w:szCs w:val="18"/>
              </w:rPr>
            </w:pPr>
            <w:r w:rsidRPr="00FE7DF2">
              <w:rPr>
                <w:rFonts w:ascii="Arial" w:hAnsi="Arial" w:cs="Arial"/>
                <w:sz w:val="18"/>
                <w:szCs w:val="18"/>
              </w:rPr>
              <w:t>$152.3</w:t>
            </w:r>
          </w:p>
        </w:tc>
      </w:tr>
      <w:tr w:rsidR="00FE7DF2" w:rsidRPr="00FE7DF2" w14:paraId="13DDD8E6" w14:textId="77777777" w:rsidTr="00E84510">
        <w:tc>
          <w:tcPr>
            <w:tcW w:w="2448" w:type="dxa"/>
            <w:vAlign w:val="center"/>
          </w:tcPr>
          <w:p w14:paraId="0D39D006" w14:textId="77777777" w:rsidR="00680633" w:rsidRPr="00FE7DF2" w:rsidRDefault="00680633" w:rsidP="00183528">
            <w:pPr>
              <w:spacing w:after="0" w:line="240" w:lineRule="auto"/>
              <w:rPr>
                <w:rFonts w:ascii="Arial" w:hAnsi="Arial" w:cs="Arial"/>
                <w:b/>
                <w:sz w:val="18"/>
                <w:szCs w:val="18"/>
              </w:rPr>
            </w:pPr>
          </w:p>
          <w:p w14:paraId="7DEE3424" w14:textId="77777777" w:rsidR="008A5B79" w:rsidRPr="00FE7DF2" w:rsidRDefault="008A5B79" w:rsidP="00183528">
            <w:pPr>
              <w:spacing w:after="0" w:line="240" w:lineRule="auto"/>
              <w:rPr>
                <w:rFonts w:ascii="Arial" w:hAnsi="Arial" w:cs="Arial"/>
                <w:b/>
                <w:sz w:val="18"/>
                <w:szCs w:val="18"/>
              </w:rPr>
            </w:pPr>
            <w:r w:rsidRPr="00FE7DF2">
              <w:rPr>
                <w:rFonts w:ascii="Arial" w:hAnsi="Arial" w:cs="Arial"/>
                <w:b/>
                <w:sz w:val="18"/>
                <w:szCs w:val="18"/>
              </w:rPr>
              <w:t>Net income attributable to common stockholders</w:t>
            </w:r>
          </w:p>
        </w:tc>
        <w:tc>
          <w:tcPr>
            <w:tcW w:w="270" w:type="dxa"/>
          </w:tcPr>
          <w:p w14:paraId="36535199" w14:textId="77777777" w:rsidR="008A5B79" w:rsidRPr="00FE7DF2" w:rsidRDefault="008A5B79" w:rsidP="00183528">
            <w:pPr>
              <w:spacing w:after="0" w:line="240" w:lineRule="auto"/>
              <w:rPr>
                <w:rFonts w:ascii="Arial" w:hAnsi="Arial" w:cs="Arial"/>
                <w:sz w:val="18"/>
                <w:szCs w:val="18"/>
              </w:rPr>
            </w:pPr>
          </w:p>
        </w:tc>
        <w:tc>
          <w:tcPr>
            <w:tcW w:w="1260" w:type="dxa"/>
            <w:vAlign w:val="center"/>
          </w:tcPr>
          <w:p w14:paraId="356E32A0" w14:textId="77777777" w:rsidR="00E84510" w:rsidRPr="00FE7DF2" w:rsidRDefault="00E84510" w:rsidP="00183528">
            <w:pPr>
              <w:spacing w:after="0" w:line="240" w:lineRule="auto"/>
              <w:jc w:val="center"/>
              <w:rPr>
                <w:rFonts w:ascii="Arial" w:hAnsi="Arial" w:cs="Arial"/>
                <w:sz w:val="18"/>
                <w:szCs w:val="18"/>
              </w:rPr>
            </w:pPr>
          </w:p>
          <w:p w14:paraId="5F98E802" w14:textId="77777777" w:rsidR="00E84510" w:rsidRPr="00FE7DF2" w:rsidRDefault="00E84510" w:rsidP="00183528">
            <w:pPr>
              <w:spacing w:after="0" w:line="240" w:lineRule="auto"/>
              <w:jc w:val="center"/>
              <w:rPr>
                <w:rFonts w:ascii="Arial" w:hAnsi="Arial" w:cs="Arial"/>
                <w:sz w:val="18"/>
                <w:szCs w:val="18"/>
              </w:rPr>
            </w:pPr>
          </w:p>
          <w:p w14:paraId="0809844C" w14:textId="19EF1BA8" w:rsidR="008A5B79" w:rsidRPr="00FE7DF2" w:rsidRDefault="008A5B79" w:rsidP="00946DDF">
            <w:pPr>
              <w:spacing w:after="0" w:line="240" w:lineRule="auto"/>
              <w:jc w:val="center"/>
              <w:rPr>
                <w:rFonts w:ascii="Arial" w:hAnsi="Arial" w:cs="Arial"/>
                <w:sz w:val="18"/>
                <w:szCs w:val="18"/>
              </w:rPr>
            </w:pPr>
            <w:r w:rsidRPr="00FE7DF2">
              <w:rPr>
                <w:rFonts w:ascii="Arial" w:hAnsi="Arial" w:cs="Arial"/>
                <w:sz w:val="18"/>
                <w:szCs w:val="18"/>
              </w:rPr>
              <w:t>$0.</w:t>
            </w:r>
            <w:r w:rsidR="00946DDF">
              <w:rPr>
                <w:rFonts w:ascii="Arial" w:hAnsi="Arial" w:cs="Arial"/>
                <w:sz w:val="18"/>
                <w:szCs w:val="18"/>
              </w:rPr>
              <w:t>5</w:t>
            </w:r>
          </w:p>
        </w:tc>
        <w:tc>
          <w:tcPr>
            <w:tcW w:w="1350" w:type="dxa"/>
            <w:vAlign w:val="center"/>
          </w:tcPr>
          <w:p w14:paraId="70251CD7" w14:textId="77777777" w:rsidR="00E84510" w:rsidRPr="00FE7DF2" w:rsidRDefault="00E84510" w:rsidP="00183528">
            <w:pPr>
              <w:spacing w:after="0" w:line="240" w:lineRule="auto"/>
              <w:jc w:val="center"/>
              <w:rPr>
                <w:rFonts w:ascii="Arial" w:hAnsi="Arial" w:cs="Arial"/>
                <w:sz w:val="18"/>
                <w:szCs w:val="18"/>
              </w:rPr>
            </w:pPr>
          </w:p>
          <w:p w14:paraId="5AD05E03" w14:textId="77777777" w:rsidR="00E84510" w:rsidRPr="00FE7DF2" w:rsidRDefault="00E84510" w:rsidP="00183528">
            <w:pPr>
              <w:spacing w:after="0" w:line="240" w:lineRule="auto"/>
              <w:jc w:val="center"/>
              <w:rPr>
                <w:rFonts w:ascii="Arial" w:hAnsi="Arial" w:cs="Arial"/>
                <w:sz w:val="18"/>
                <w:szCs w:val="18"/>
              </w:rPr>
            </w:pPr>
          </w:p>
          <w:p w14:paraId="06B38750" w14:textId="77777777" w:rsidR="008A5B79" w:rsidRPr="00FE7DF2" w:rsidRDefault="002041A1" w:rsidP="00183528">
            <w:pPr>
              <w:spacing w:after="0" w:line="240" w:lineRule="auto"/>
              <w:jc w:val="center"/>
              <w:rPr>
                <w:rFonts w:ascii="Arial" w:hAnsi="Arial" w:cs="Arial"/>
                <w:sz w:val="18"/>
                <w:szCs w:val="18"/>
              </w:rPr>
            </w:pPr>
            <w:r w:rsidRPr="00FE7DF2">
              <w:rPr>
                <w:rFonts w:ascii="Arial" w:hAnsi="Arial" w:cs="Arial"/>
                <w:sz w:val="18"/>
                <w:szCs w:val="18"/>
              </w:rPr>
              <w:t>$0.9</w:t>
            </w:r>
          </w:p>
        </w:tc>
        <w:tc>
          <w:tcPr>
            <w:tcW w:w="270" w:type="dxa"/>
          </w:tcPr>
          <w:p w14:paraId="305AC2F5" w14:textId="77777777" w:rsidR="008A5B79" w:rsidRPr="00FE7DF2" w:rsidRDefault="008A5B79" w:rsidP="00183528">
            <w:pPr>
              <w:spacing w:after="0" w:line="240" w:lineRule="auto"/>
              <w:jc w:val="center"/>
              <w:rPr>
                <w:rFonts w:ascii="Arial" w:hAnsi="Arial" w:cs="Arial"/>
                <w:sz w:val="18"/>
                <w:szCs w:val="18"/>
              </w:rPr>
            </w:pPr>
          </w:p>
        </w:tc>
        <w:tc>
          <w:tcPr>
            <w:tcW w:w="1800" w:type="dxa"/>
            <w:vAlign w:val="center"/>
          </w:tcPr>
          <w:p w14:paraId="24F60201" w14:textId="77777777" w:rsidR="00E84510" w:rsidRPr="00FE7DF2" w:rsidRDefault="00E84510" w:rsidP="00183528">
            <w:pPr>
              <w:spacing w:after="0" w:line="240" w:lineRule="auto"/>
              <w:jc w:val="center"/>
              <w:rPr>
                <w:rFonts w:ascii="Arial" w:hAnsi="Arial" w:cs="Arial"/>
                <w:sz w:val="18"/>
                <w:szCs w:val="18"/>
              </w:rPr>
            </w:pPr>
          </w:p>
          <w:p w14:paraId="0CB7A168" w14:textId="77777777" w:rsidR="00E84510" w:rsidRPr="00FE7DF2" w:rsidRDefault="00E84510" w:rsidP="00183528">
            <w:pPr>
              <w:spacing w:after="0" w:line="240" w:lineRule="auto"/>
              <w:jc w:val="center"/>
              <w:rPr>
                <w:rFonts w:ascii="Arial" w:hAnsi="Arial" w:cs="Arial"/>
                <w:sz w:val="18"/>
                <w:szCs w:val="18"/>
              </w:rPr>
            </w:pPr>
          </w:p>
          <w:p w14:paraId="7BB7B95E" w14:textId="77777777" w:rsidR="008A5B79" w:rsidRPr="00FE7DF2" w:rsidRDefault="008A5B79" w:rsidP="007A649F">
            <w:pPr>
              <w:spacing w:after="0" w:line="240" w:lineRule="auto"/>
              <w:jc w:val="center"/>
              <w:rPr>
                <w:rFonts w:ascii="Arial" w:hAnsi="Arial" w:cs="Arial"/>
                <w:sz w:val="18"/>
                <w:szCs w:val="18"/>
              </w:rPr>
            </w:pPr>
            <w:r w:rsidRPr="00FE7DF2">
              <w:rPr>
                <w:rFonts w:ascii="Arial" w:hAnsi="Arial" w:cs="Arial"/>
                <w:sz w:val="18"/>
                <w:szCs w:val="18"/>
              </w:rPr>
              <w:t>$</w:t>
            </w:r>
            <w:r w:rsidR="007A649F" w:rsidRPr="00FE7DF2">
              <w:rPr>
                <w:rFonts w:ascii="Arial" w:hAnsi="Arial" w:cs="Arial"/>
                <w:sz w:val="18"/>
                <w:szCs w:val="18"/>
              </w:rPr>
              <w:t>7.6</w:t>
            </w:r>
          </w:p>
        </w:tc>
        <w:tc>
          <w:tcPr>
            <w:tcW w:w="1890" w:type="dxa"/>
            <w:vAlign w:val="center"/>
          </w:tcPr>
          <w:p w14:paraId="524F39E4" w14:textId="77777777" w:rsidR="00E84510" w:rsidRPr="00FE7DF2" w:rsidRDefault="00E84510" w:rsidP="00183528">
            <w:pPr>
              <w:spacing w:after="0" w:line="240" w:lineRule="auto"/>
              <w:jc w:val="center"/>
              <w:rPr>
                <w:rFonts w:ascii="Arial" w:hAnsi="Arial" w:cs="Arial"/>
                <w:sz w:val="18"/>
                <w:szCs w:val="18"/>
              </w:rPr>
            </w:pPr>
          </w:p>
          <w:p w14:paraId="446CCBA6" w14:textId="77777777" w:rsidR="00E84510" w:rsidRPr="00FE7DF2" w:rsidRDefault="00E84510" w:rsidP="00183528">
            <w:pPr>
              <w:spacing w:after="0" w:line="240" w:lineRule="auto"/>
              <w:jc w:val="center"/>
              <w:rPr>
                <w:rFonts w:ascii="Arial" w:hAnsi="Arial" w:cs="Arial"/>
                <w:sz w:val="18"/>
                <w:szCs w:val="18"/>
              </w:rPr>
            </w:pPr>
          </w:p>
          <w:p w14:paraId="1CCD87C2" w14:textId="77777777" w:rsidR="008A5B79" w:rsidRPr="00FE7DF2" w:rsidRDefault="00993DAF" w:rsidP="008A12F9">
            <w:pPr>
              <w:spacing w:after="0" w:line="240" w:lineRule="auto"/>
              <w:jc w:val="center"/>
              <w:rPr>
                <w:rFonts w:ascii="Arial" w:hAnsi="Arial" w:cs="Arial"/>
                <w:sz w:val="18"/>
                <w:szCs w:val="18"/>
              </w:rPr>
            </w:pPr>
            <w:r w:rsidRPr="00FE7DF2">
              <w:rPr>
                <w:rFonts w:ascii="Arial" w:hAnsi="Arial" w:cs="Arial"/>
                <w:sz w:val="18"/>
                <w:szCs w:val="18"/>
              </w:rPr>
              <w:t>$4.</w:t>
            </w:r>
            <w:r w:rsidR="008A12F9">
              <w:rPr>
                <w:rFonts w:ascii="Arial" w:hAnsi="Arial" w:cs="Arial"/>
                <w:sz w:val="18"/>
                <w:szCs w:val="18"/>
              </w:rPr>
              <w:t>9</w:t>
            </w:r>
          </w:p>
        </w:tc>
      </w:tr>
      <w:tr w:rsidR="00FE7DF2" w:rsidRPr="00FE7DF2" w14:paraId="5C243472" w14:textId="77777777" w:rsidTr="00E84510">
        <w:trPr>
          <w:trHeight w:val="71"/>
        </w:trPr>
        <w:tc>
          <w:tcPr>
            <w:tcW w:w="2448" w:type="dxa"/>
            <w:vAlign w:val="center"/>
          </w:tcPr>
          <w:p w14:paraId="40D6A49B" w14:textId="77777777" w:rsidR="008A5B79" w:rsidRPr="00FE7DF2" w:rsidRDefault="008A5B79" w:rsidP="00183528">
            <w:pPr>
              <w:spacing w:after="0" w:line="240" w:lineRule="auto"/>
              <w:rPr>
                <w:rFonts w:ascii="Arial" w:hAnsi="Arial" w:cs="Arial"/>
                <w:b/>
                <w:sz w:val="16"/>
                <w:szCs w:val="16"/>
              </w:rPr>
            </w:pPr>
          </w:p>
        </w:tc>
        <w:tc>
          <w:tcPr>
            <w:tcW w:w="270" w:type="dxa"/>
          </w:tcPr>
          <w:p w14:paraId="057598DE" w14:textId="77777777" w:rsidR="008A5B79" w:rsidRPr="00FE7DF2" w:rsidRDefault="008A5B79" w:rsidP="00183528">
            <w:pPr>
              <w:spacing w:after="0" w:line="240" w:lineRule="auto"/>
              <w:rPr>
                <w:rFonts w:ascii="Arial" w:hAnsi="Arial" w:cs="Arial"/>
                <w:sz w:val="16"/>
                <w:szCs w:val="16"/>
              </w:rPr>
            </w:pPr>
          </w:p>
        </w:tc>
        <w:tc>
          <w:tcPr>
            <w:tcW w:w="1260" w:type="dxa"/>
            <w:vAlign w:val="center"/>
          </w:tcPr>
          <w:p w14:paraId="0B7625DD" w14:textId="77777777" w:rsidR="008A5B79" w:rsidRPr="00FE7DF2" w:rsidRDefault="008A5B79" w:rsidP="00183528">
            <w:pPr>
              <w:spacing w:after="0" w:line="240" w:lineRule="auto"/>
              <w:jc w:val="center"/>
              <w:rPr>
                <w:rFonts w:ascii="Arial" w:hAnsi="Arial" w:cs="Arial"/>
                <w:sz w:val="16"/>
                <w:szCs w:val="16"/>
              </w:rPr>
            </w:pPr>
          </w:p>
        </w:tc>
        <w:tc>
          <w:tcPr>
            <w:tcW w:w="1350" w:type="dxa"/>
            <w:vAlign w:val="center"/>
          </w:tcPr>
          <w:p w14:paraId="4E973F04" w14:textId="77777777" w:rsidR="008A5B79" w:rsidRPr="00FE7DF2" w:rsidRDefault="008A5B79" w:rsidP="00183528">
            <w:pPr>
              <w:spacing w:after="0" w:line="240" w:lineRule="auto"/>
              <w:jc w:val="center"/>
              <w:rPr>
                <w:rFonts w:ascii="Arial" w:hAnsi="Arial" w:cs="Arial"/>
                <w:sz w:val="16"/>
                <w:szCs w:val="16"/>
              </w:rPr>
            </w:pPr>
          </w:p>
        </w:tc>
        <w:tc>
          <w:tcPr>
            <w:tcW w:w="270" w:type="dxa"/>
          </w:tcPr>
          <w:p w14:paraId="1B594AFB" w14:textId="77777777" w:rsidR="008A5B79" w:rsidRPr="00FE7DF2" w:rsidRDefault="008A5B79" w:rsidP="00183528">
            <w:pPr>
              <w:spacing w:after="0" w:line="240" w:lineRule="auto"/>
              <w:rPr>
                <w:rFonts w:ascii="Arial" w:hAnsi="Arial" w:cs="Arial"/>
                <w:sz w:val="16"/>
                <w:szCs w:val="16"/>
              </w:rPr>
            </w:pPr>
          </w:p>
        </w:tc>
        <w:tc>
          <w:tcPr>
            <w:tcW w:w="1800" w:type="dxa"/>
            <w:vAlign w:val="center"/>
          </w:tcPr>
          <w:p w14:paraId="4B9E4072" w14:textId="77777777" w:rsidR="008A5B79" w:rsidRPr="00FE7DF2" w:rsidRDefault="008A5B79" w:rsidP="00183528">
            <w:pPr>
              <w:spacing w:after="0" w:line="240" w:lineRule="auto"/>
              <w:jc w:val="center"/>
              <w:rPr>
                <w:rFonts w:ascii="Arial" w:hAnsi="Arial" w:cs="Arial"/>
                <w:sz w:val="16"/>
                <w:szCs w:val="16"/>
              </w:rPr>
            </w:pPr>
          </w:p>
        </w:tc>
        <w:tc>
          <w:tcPr>
            <w:tcW w:w="1890" w:type="dxa"/>
            <w:vAlign w:val="center"/>
          </w:tcPr>
          <w:p w14:paraId="111B3746" w14:textId="77777777" w:rsidR="008A5B79" w:rsidRPr="00FE7DF2" w:rsidRDefault="008A5B79" w:rsidP="00183528">
            <w:pPr>
              <w:spacing w:after="0" w:line="240" w:lineRule="auto"/>
              <w:jc w:val="center"/>
              <w:rPr>
                <w:rFonts w:ascii="Arial" w:hAnsi="Arial" w:cs="Arial"/>
                <w:sz w:val="16"/>
                <w:szCs w:val="16"/>
              </w:rPr>
            </w:pPr>
          </w:p>
        </w:tc>
      </w:tr>
      <w:tr w:rsidR="00FE7DF2" w:rsidRPr="00FE7DF2" w14:paraId="678BD4FB" w14:textId="77777777" w:rsidTr="00E84510">
        <w:trPr>
          <w:trHeight w:val="71"/>
        </w:trPr>
        <w:tc>
          <w:tcPr>
            <w:tcW w:w="2448" w:type="dxa"/>
            <w:vAlign w:val="center"/>
          </w:tcPr>
          <w:p w14:paraId="73FCE635" w14:textId="77777777" w:rsidR="008A5B79" w:rsidRPr="00FE7DF2" w:rsidRDefault="008A5B79" w:rsidP="00183528">
            <w:pPr>
              <w:spacing w:after="0" w:line="240" w:lineRule="auto"/>
              <w:rPr>
                <w:rFonts w:ascii="Arial" w:hAnsi="Arial" w:cs="Arial"/>
                <w:b/>
                <w:sz w:val="18"/>
                <w:szCs w:val="18"/>
              </w:rPr>
            </w:pPr>
            <w:r w:rsidRPr="00FE7DF2">
              <w:rPr>
                <w:rFonts w:ascii="Arial" w:hAnsi="Arial" w:cs="Arial"/>
                <w:b/>
                <w:sz w:val="18"/>
                <w:szCs w:val="18"/>
              </w:rPr>
              <w:t xml:space="preserve">Earnings per share </w:t>
            </w:r>
          </w:p>
          <w:p w14:paraId="48187591" w14:textId="77777777" w:rsidR="008A5B79" w:rsidRPr="00FE7DF2" w:rsidRDefault="008A5B79" w:rsidP="00183528">
            <w:pPr>
              <w:spacing w:after="0" w:line="240" w:lineRule="auto"/>
              <w:rPr>
                <w:rFonts w:ascii="Arial" w:hAnsi="Arial" w:cs="Arial"/>
                <w:b/>
                <w:sz w:val="18"/>
                <w:szCs w:val="18"/>
              </w:rPr>
            </w:pPr>
            <w:r w:rsidRPr="00FE7DF2">
              <w:rPr>
                <w:rFonts w:ascii="Arial" w:hAnsi="Arial" w:cs="Arial"/>
                <w:b/>
                <w:sz w:val="18"/>
                <w:szCs w:val="18"/>
              </w:rPr>
              <w:t xml:space="preserve">(EPS) </w:t>
            </w:r>
            <w:r w:rsidR="005E0942" w:rsidRPr="00FE7DF2">
              <w:rPr>
                <w:rFonts w:ascii="Arial" w:hAnsi="Arial" w:cs="Arial"/>
                <w:b/>
                <w:sz w:val="18"/>
                <w:szCs w:val="18"/>
              </w:rPr>
              <w:t xml:space="preserve">fully </w:t>
            </w:r>
            <w:r w:rsidRPr="00FE7DF2">
              <w:rPr>
                <w:rFonts w:ascii="Arial" w:hAnsi="Arial" w:cs="Arial"/>
                <w:b/>
                <w:sz w:val="18"/>
                <w:szCs w:val="18"/>
              </w:rPr>
              <w:t>diluted</w:t>
            </w:r>
          </w:p>
        </w:tc>
        <w:tc>
          <w:tcPr>
            <w:tcW w:w="270" w:type="dxa"/>
          </w:tcPr>
          <w:p w14:paraId="6D630E52" w14:textId="77777777" w:rsidR="008A5B79" w:rsidRPr="00FE7DF2" w:rsidRDefault="008A5B79" w:rsidP="00183528">
            <w:pPr>
              <w:spacing w:after="0" w:line="240" w:lineRule="auto"/>
              <w:rPr>
                <w:rFonts w:ascii="Arial" w:hAnsi="Arial" w:cs="Arial"/>
                <w:sz w:val="18"/>
                <w:szCs w:val="18"/>
              </w:rPr>
            </w:pPr>
          </w:p>
        </w:tc>
        <w:tc>
          <w:tcPr>
            <w:tcW w:w="1260" w:type="dxa"/>
            <w:vAlign w:val="center"/>
          </w:tcPr>
          <w:p w14:paraId="0C29470B" w14:textId="77777777" w:rsidR="00E84510" w:rsidRPr="00FE7DF2" w:rsidRDefault="00E84510" w:rsidP="00183528">
            <w:pPr>
              <w:spacing w:after="0" w:line="240" w:lineRule="auto"/>
              <w:jc w:val="center"/>
              <w:rPr>
                <w:rFonts w:ascii="Arial" w:hAnsi="Arial" w:cs="Arial"/>
                <w:sz w:val="18"/>
                <w:szCs w:val="18"/>
              </w:rPr>
            </w:pPr>
          </w:p>
          <w:p w14:paraId="2697302A" w14:textId="77777777" w:rsidR="008A5B79" w:rsidRPr="00FE7DF2" w:rsidRDefault="00AE5077" w:rsidP="00183528">
            <w:pPr>
              <w:spacing w:after="0" w:line="240" w:lineRule="auto"/>
              <w:jc w:val="center"/>
              <w:rPr>
                <w:rFonts w:ascii="Arial" w:hAnsi="Arial" w:cs="Arial"/>
                <w:sz w:val="18"/>
                <w:szCs w:val="18"/>
              </w:rPr>
            </w:pPr>
            <w:r w:rsidRPr="00FE7DF2">
              <w:rPr>
                <w:rFonts w:ascii="Arial" w:hAnsi="Arial" w:cs="Arial"/>
                <w:sz w:val="18"/>
                <w:szCs w:val="18"/>
              </w:rPr>
              <w:t>$0.28</w:t>
            </w:r>
          </w:p>
        </w:tc>
        <w:tc>
          <w:tcPr>
            <w:tcW w:w="1350" w:type="dxa"/>
            <w:vAlign w:val="center"/>
          </w:tcPr>
          <w:p w14:paraId="111F7375" w14:textId="77777777" w:rsidR="00E84510" w:rsidRPr="00FE7DF2" w:rsidRDefault="00E84510" w:rsidP="00183528">
            <w:pPr>
              <w:spacing w:after="0" w:line="240" w:lineRule="auto"/>
              <w:jc w:val="center"/>
              <w:rPr>
                <w:rFonts w:ascii="Arial" w:hAnsi="Arial" w:cs="Arial"/>
                <w:sz w:val="18"/>
                <w:szCs w:val="18"/>
              </w:rPr>
            </w:pPr>
          </w:p>
          <w:p w14:paraId="7E9D0BD1" w14:textId="77777777" w:rsidR="008A5B79" w:rsidRPr="00FE7DF2" w:rsidRDefault="00AE5077" w:rsidP="00C122D0">
            <w:pPr>
              <w:spacing w:after="0" w:line="240" w:lineRule="auto"/>
              <w:jc w:val="center"/>
              <w:rPr>
                <w:rFonts w:ascii="Arial" w:hAnsi="Arial" w:cs="Arial"/>
                <w:sz w:val="18"/>
                <w:szCs w:val="18"/>
              </w:rPr>
            </w:pPr>
            <w:r w:rsidRPr="00FE7DF2">
              <w:rPr>
                <w:rFonts w:ascii="Arial" w:hAnsi="Arial" w:cs="Arial"/>
                <w:sz w:val="18"/>
                <w:szCs w:val="18"/>
              </w:rPr>
              <w:t>$0.5</w:t>
            </w:r>
            <w:r w:rsidR="00C122D0">
              <w:rPr>
                <w:rFonts w:ascii="Arial" w:hAnsi="Arial" w:cs="Arial"/>
                <w:sz w:val="18"/>
                <w:szCs w:val="18"/>
              </w:rPr>
              <w:t>4</w:t>
            </w:r>
          </w:p>
        </w:tc>
        <w:tc>
          <w:tcPr>
            <w:tcW w:w="270" w:type="dxa"/>
          </w:tcPr>
          <w:p w14:paraId="69DB5998" w14:textId="77777777" w:rsidR="008A5B79" w:rsidRPr="00FE7DF2" w:rsidRDefault="008A5B79" w:rsidP="00183528">
            <w:pPr>
              <w:spacing w:after="0" w:line="240" w:lineRule="auto"/>
              <w:rPr>
                <w:rFonts w:ascii="Arial" w:hAnsi="Arial" w:cs="Arial"/>
                <w:sz w:val="18"/>
                <w:szCs w:val="18"/>
              </w:rPr>
            </w:pPr>
          </w:p>
        </w:tc>
        <w:tc>
          <w:tcPr>
            <w:tcW w:w="1800" w:type="dxa"/>
            <w:vAlign w:val="center"/>
          </w:tcPr>
          <w:p w14:paraId="1F09020C" w14:textId="77777777" w:rsidR="00E84510" w:rsidRPr="00FE7DF2" w:rsidRDefault="00E84510" w:rsidP="00183528">
            <w:pPr>
              <w:spacing w:after="0" w:line="240" w:lineRule="auto"/>
              <w:jc w:val="center"/>
              <w:rPr>
                <w:rFonts w:ascii="Arial" w:hAnsi="Arial" w:cs="Arial"/>
                <w:sz w:val="18"/>
                <w:szCs w:val="18"/>
              </w:rPr>
            </w:pPr>
          </w:p>
          <w:p w14:paraId="37A05A6E" w14:textId="77777777" w:rsidR="008A5B79" w:rsidRPr="00FE7DF2" w:rsidRDefault="008A5B79" w:rsidP="007A649F">
            <w:pPr>
              <w:spacing w:after="0" w:line="240" w:lineRule="auto"/>
              <w:jc w:val="center"/>
              <w:rPr>
                <w:rFonts w:ascii="Arial" w:hAnsi="Arial" w:cs="Arial"/>
                <w:sz w:val="18"/>
                <w:szCs w:val="18"/>
              </w:rPr>
            </w:pPr>
            <w:r w:rsidRPr="00FE7DF2">
              <w:rPr>
                <w:rFonts w:ascii="Arial" w:hAnsi="Arial" w:cs="Arial"/>
                <w:sz w:val="18"/>
                <w:szCs w:val="18"/>
              </w:rPr>
              <w:t>$</w:t>
            </w:r>
            <w:r w:rsidR="007A649F" w:rsidRPr="00FE7DF2">
              <w:rPr>
                <w:rFonts w:ascii="Arial" w:hAnsi="Arial" w:cs="Arial"/>
                <w:sz w:val="18"/>
                <w:szCs w:val="18"/>
              </w:rPr>
              <w:t>4.58</w:t>
            </w:r>
          </w:p>
        </w:tc>
        <w:tc>
          <w:tcPr>
            <w:tcW w:w="1890" w:type="dxa"/>
            <w:vAlign w:val="center"/>
          </w:tcPr>
          <w:p w14:paraId="1DBA0029" w14:textId="77777777" w:rsidR="00E84510" w:rsidRPr="00FE7DF2" w:rsidRDefault="00E84510" w:rsidP="00183528">
            <w:pPr>
              <w:spacing w:after="0" w:line="240" w:lineRule="auto"/>
              <w:jc w:val="center"/>
              <w:rPr>
                <w:rFonts w:ascii="Arial" w:hAnsi="Arial" w:cs="Arial"/>
                <w:sz w:val="18"/>
                <w:szCs w:val="18"/>
              </w:rPr>
            </w:pPr>
          </w:p>
          <w:p w14:paraId="03A4E257" w14:textId="77777777" w:rsidR="008A5B79" w:rsidRPr="00FE7DF2" w:rsidRDefault="00AE5077" w:rsidP="008A12F9">
            <w:pPr>
              <w:spacing w:after="0" w:line="240" w:lineRule="auto"/>
              <w:jc w:val="center"/>
              <w:rPr>
                <w:rFonts w:ascii="Arial" w:hAnsi="Arial" w:cs="Arial"/>
                <w:sz w:val="18"/>
                <w:szCs w:val="18"/>
              </w:rPr>
            </w:pPr>
            <w:r w:rsidRPr="00FE7DF2">
              <w:rPr>
                <w:rFonts w:ascii="Arial" w:hAnsi="Arial" w:cs="Arial"/>
                <w:sz w:val="18"/>
                <w:szCs w:val="18"/>
              </w:rPr>
              <w:t>$2.9</w:t>
            </w:r>
            <w:r w:rsidR="008A12F9">
              <w:rPr>
                <w:rFonts w:ascii="Arial" w:hAnsi="Arial" w:cs="Arial"/>
                <w:sz w:val="18"/>
                <w:szCs w:val="18"/>
              </w:rPr>
              <w:t>2</w:t>
            </w:r>
          </w:p>
        </w:tc>
      </w:tr>
      <w:tr w:rsidR="00FE7DF2" w:rsidRPr="00FE7DF2" w14:paraId="39F75C50" w14:textId="77777777" w:rsidTr="00E84510">
        <w:trPr>
          <w:trHeight w:val="71"/>
        </w:trPr>
        <w:tc>
          <w:tcPr>
            <w:tcW w:w="2448" w:type="dxa"/>
            <w:vAlign w:val="center"/>
          </w:tcPr>
          <w:p w14:paraId="7A7695EB" w14:textId="77777777" w:rsidR="00680633" w:rsidRPr="00FE7DF2" w:rsidRDefault="00680633" w:rsidP="00183528">
            <w:pPr>
              <w:spacing w:after="0" w:line="240" w:lineRule="auto"/>
              <w:rPr>
                <w:rFonts w:ascii="Arial" w:hAnsi="Arial" w:cs="Arial"/>
                <w:b/>
                <w:sz w:val="18"/>
                <w:szCs w:val="18"/>
              </w:rPr>
            </w:pPr>
          </w:p>
          <w:p w14:paraId="3262586D" w14:textId="77777777" w:rsidR="008A5B79" w:rsidRPr="00FE7DF2" w:rsidRDefault="008A5B79" w:rsidP="00183528">
            <w:pPr>
              <w:spacing w:after="0" w:line="240" w:lineRule="auto"/>
              <w:rPr>
                <w:rFonts w:ascii="Arial" w:hAnsi="Arial" w:cs="Arial"/>
                <w:b/>
                <w:sz w:val="18"/>
                <w:szCs w:val="18"/>
              </w:rPr>
            </w:pPr>
            <w:r w:rsidRPr="00FE7DF2">
              <w:rPr>
                <w:rFonts w:ascii="Arial" w:hAnsi="Arial" w:cs="Arial"/>
                <w:b/>
                <w:sz w:val="18"/>
                <w:szCs w:val="18"/>
              </w:rPr>
              <w:t xml:space="preserve">Impact of special items on EPS </w:t>
            </w:r>
            <w:r w:rsidR="005E0942" w:rsidRPr="00FE7DF2">
              <w:rPr>
                <w:rFonts w:ascii="Arial" w:hAnsi="Arial" w:cs="Arial"/>
                <w:b/>
                <w:sz w:val="18"/>
                <w:szCs w:val="18"/>
              </w:rPr>
              <w:t xml:space="preserve">fully </w:t>
            </w:r>
            <w:r w:rsidRPr="00FE7DF2">
              <w:rPr>
                <w:rFonts w:ascii="Arial" w:hAnsi="Arial" w:cs="Arial"/>
                <w:b/>
                <w:sz w:val="18"/>
                <w:szCs w:val="18"/>
              </w:rPr>
              <w:t>diluted</w:t>
            </w:r>
          </w:p>
        </w:tc>
        <w:tc>
          <w:tcPr>
            <w:tcW w:w="270" w:type="dxa"/>
          </w:tcPr>
          <w:p w14:paraId="01E71169" w14:textId="77777777" w:rsidR="008A5B79" w:rsidRPr="00FE7DF2" w:rsidRDefault="008A5B79" w:rsidP="00183528">
            <w:pPr>
              <w:spacing w:after="0" w:line="240" w:lineRule="auto"/>
              <w:rPr>
                <w:rFonts w:ascii="Arial" w:hAnsi="Arial" w:cs="Arial"/>
                <w:b/>
                <w:sz w:val="18"/>
                <w:szCs w:val="18"/>
              </w:rPr>
            </w:pPr>
          </w:p>
        </w:tc>
        <w:tc>
          <w:tcPr>
            <w:tcW w:w="1260" w:type="dxa"/>
            <w:vAlign w:val="center"/>
          </w:tcPr>
          <w:p w14:paraId="1893AB62" w14:textId="77777777" w:rsidR="00E84510" w:rsidRPr="00FE7DF2" w:rsidRDefault="00E84510" w:rsidP="00183528">
            <w:pPr>
              <w:spacing w:after="0" w:line="240" w:lineRule="auto"/>
              <w:jc w:val="center"/>
              <w:rPr>
                <w:rFonts w:ascii="Arial" w:hAnsi="Arial" w:cs="Arial"/>
                <w:sz w:val="18"/>
                <w:szCs w:val="18"/>
              </w:rPr>
            </w:pPr>
          </w:p>
          <w:p w14:paraId="742297F5" w14:textId="77777777" w:rsidR="008A5B79" w:rsidRPr="00FE7DF2" w:rsidRDefault="00D631AC" w:rsidP="007A649F">
            <w:pPr>
              <w:spacing w:after="0" w:line="240" w:lineRule="auto"/>
              <w:jc w:val="center"/>
              <w:rPr>
                <w:rFonts w:ascii="Arial" w:hAnsi="Arial" w:cs="Arial"/>
                <w:sz w:val="18"/>
                <w:szCs w:val="18"/>
              </w:rPr>
            </w:pPr>
            <w:r w:rsidRPr="00FE7DF2">
              <w:rPr>
                <w:rFonts w:ascii="Arial" w:hAnsi="Arial" w:cs="Arial"/>
                <w:sz w:val="18"/>
                <w:szCs w:val="18"/>
              </w:rPr>
              <w:t>$</w:t>
            </w:r>
            <w:r w:rsidR="008A5B79" w:rsidRPr="00FE7DF2">
              <w:rPr>
                <w:rFonts w:ascii="Arial" w:hAnsi="Arial" w:cs="Arial"/>
                <w:sz w:val="18"/>
                <w:szCs w:val="18"/>
              </w:rPr>
              <w:t>(0.</w:t>
            </w:r>
            <w:r w:rsidR="007A649F" w:rsidRPr="00FE7DF2">
              <w:rPr>
                <w:rFonts w:ascii="Arial" w:hAnsi="Arial" w:cs="Arial"/>
                <w:sz w:val="18"/>
                <w:szCs w:val="18"/>
              </w:rPr>
              <w:t>1</w:t>
            </w:r>
            <w:r w:rsidR="008A5B79" w:rsidRPr="00FE7DF2">
              <w:rPr>
                <w:rFonts w:ascii="Arial" w:hAnsi="Arial" w:cs="Arial"/>
                <w:sz w:val="18"/>
                <w:szCs w:val="18"/>
              </w:rPr>
              <w:t>1)</w:t>
            </w:r>
          </w:p>
        </w:tc>
        <w:tc>
          <w:tcPr>
            <w:tcW w:w="1350" w:type="dxa"/>
            <w:vAlign w:val="center"/>
          </w:tcPr>
          <w:p w14:paraId="6E2C7C2D" w14:textId="77777777" w:rsidR="00E84510" w:rsidRPr="00FE7DF2" w:rsidRDefault="00E84510" w:rsidP="00183528">
            <w:pPr>
              <w:spacing w:after="0" w:line="240" w:lineRule="auto"/>
              <w:jc w:val="center"/>
              <w:rPr>
                <w:rFonts w:ascii="Arial" w:hAnsi="Arial" w:cs="Arial"/>
                <w:sz w:val="18"/>
                <w:szCs w:val="18"/>
              </w:rPr>
            </w:pPr>
          </w:p>
          <w:p w14:paraId="3BA4B306" w14:textId="77777777" w:rsidR="008A5B79" w:rsidRPr="00FE7DF2" w:rsidRDefault="00614656" w:rsidP="00BD3FE6">
            <w:pPr>
              <w:spacing w:after="0" w:line="240" w:lineRule="auto"/>
              <w:jc w:val="center"/>
              <w:rPr>
                <w:rFonts w:ascii="Arial" w:hAnsi="Arial" w:cs="Arial"/>
                <w:sz w:val="18"/>
                <w:szCs w:val="18"/>
              </w:rPr>
            </w:pPr>
            <w:r w:rsidRPr="00BD3FE6">
              <w:rPr>
                <w:rFonts w:ascii="Arial" w:hAnsi="Arial" w:cs="Arial"/>
                <w:sz w:val="18"/>
                <w:szCs w:val="18"/>
              </w:rPr>
              <w:t>$0.0</w:t>
            </w:r>
            <w:r w:rsidR="00BD3FE6" w:rsidRPr="00BD3FE6">
              <w:rPr>
                <w:rFonts w:ascii="Arial" w:hAnsi="Arial" w:cs="Arial"/>
                <w:sz w:val="18"/>
                <w:szCs w:val="18"/>
              </w:rPr>
              <w:t>6</w:t>
            </w:r>
          </w:p>
        </w:tc>
        <w:tc>
          <w:tcPr>
            <w:tcW w:w="270" w:type="dxa"/>
          </w:tcPr>
          <w:p w14:paraId="3874BD94" w14:textId="77777777" w:rsidR="008A5B79" w:rsidRPr="00FE7DF2" w:rsidRDefault="008A5B79" w:rsidP="00183528">
            <w:pPr>
              <w:spacing w:after="0" w:line="240" w:lineRule="auto"/>
              <w:rPr>
                <w:rFonts w:ascii="Arial" w:hAnsi="Arial" w:cs="Arial"/>
                <w:sz w:val="18"/>
                <w:szCs w:val="18"/>
              </w:rPr>
            </w:pPr>
          </w:p>
        </w:tc>
        <w:tc>
          <w:tcPr>
            <w:tcW w:w="1800" w:type="dxa"/>
            <w:vAlign w:val="center"/>
          </w:tcPr>
          <w:p w14:paraId="7199ACC8" w14:textId="77777777" w:rsidR="00E84510" w:rsidRPr="00FE7DF2" w:rsidRDefault="00E84510" w:rsidP="00183528">
            <w:pPr>
              <w:spacing w:after="0" w:line="240" w:lineRule="auto"/>
              <w:jc w:val="center"/>
              <w:rPr>
                <w:rFonts w:ascii="Arial" w:hAnsi="Arial" w:cs="Arial"/>
                <w:sz w:val="18"/>
                <w:szCs w:val="18"/>
              </w:rPr>
            </w:pPr>
          </w:p>
          <w:p w14:paraId="2F866294" w14:textId="77777777" w:rsidR="008A5B79" w:rsidRPr="00FE7DF2" w:rsidRDefault="00D631AC" w:rsidP="00183528">
            <w:pPr>
              <w:spacing w:after="0" w:line="240" w:lineRule="auto"/>
              <w:jc w:val="center"/>
              <w:rPr>
                <w:rFonts w:ascii="Arial" w:hAnsi="Arial" w:cs="Arial"/>
                <w:sz w:val="18"/>
                <w:szCs w:val="18"/>
              </w:rPr>
            </w:pPr>
            <w:r w:rsidRPr="00FE7DF2">
              <w:rPr>
                <w:rFonts w:ascii="Arial" w:hAnsi="Arial" w:cs="Arial"/>
                <w:sz w:val="18"/>
                <w:szCs w:val="18"/>
              </w:rPr>
              <w:t>$</w:t>
            </w:r>
            <w:r w:rsidR="007A649F" w:rsidRPr="00FE7DF2">
              <w:rPr>
                <w:rFonts w:ascii="Arial" w:hAnsi="Arial" w:cs="Arial"/>
                <w:sz w:val="18"/>
                <w:szCs w:val="18"/>
              </w:rPr>
              <w:t>0.70</w:t>
            </w:r>
          </w:p>
        </w:tc>
        <w:tc>
          <w:tcPr>
            <w:tcW w:w="1890" w:type="dxa"/>
            <w:vAlign w:val="center"/>
          </w:tcPr>
          <w:p w14:paraId="51808D39" w14:textId="77777777" w:rsidR="00E84510" w:rsidRPr="00FE7DF2" w:rsidRDefault="00E84510" w:rsidP="00183528">
            <w:pPr>
              <w:spacing w:after="0" w:line="240" w:lineRule="auto"/>
              <w:jc w:val="center"/>
              <w:rPr>
                <w:rFonts w:ascii="Arial" w:hAnsi="Arial" w:cs="Arial"/>
                <w:sz w:val="18"/>
                <w:szCs w:val="18"/>
              </w:rPr>
            </w:pPr>
          </w:p>
          <w:p w14:paraId="4BB6AC28" w14:textId="77777777" w:rsidR="008A5B79" w:rsidRPr="00FE7DF2" w:rsidRDefault="004D505B" w:rsidP="009D2FA1">
            <w:pPr>
              <w:spacing w:after="0" w:line="240" w:lineRule="auto"/>
              <w:jc w:val="center"/>
              <w:rPr>
                <w:rFonts w:ascii="Arial" w:hAnsi="Arial" w:cs="Arial"/>
                <w:sz w:val="18"/>
                <w:szCs w:val="18"/>
              </w:rPr>
            </w:pPr>
            <w:r w:rsidRPr="00FE7DF2">
              <w:rPr>
                <w:rFonts w:ascii="Arial" w:hAnsi="Arial" w:cs="Arial"/>
                <w:sz w:val="18"/>
                <w:szCs w:val="18"/>
              </w:rPr>
              <w:t>$(0.3</w:t>
            </w:r>
            <w:r w:rsidR="009D2FA1">
              <w:rPr>
                <w:rFonts w:ascii="Arial" w:hAnsi="Arial" w:cs="Arial"/>
                <w:sz w:val="18"/>
                <w:szCs w:val="18"/>
              </w:rPr>
              <w:t>2</w:t>
            </w:r>
            <w:r w:rsidRPr="00FE7DF2">
              <w:rPr>
                <w:rFonts w:ascii="Arial" w:hAnsi="Arial" w:cs="Arial"/>
                <w:sz w:val="18"/>
                <w:szCs w:val="18"/>
              </w:rPr>
              <w:t>)</w:t>
            </w:r>
          </w:p>
        </w:tc>
      </w:tr>
      <w:tr w:rsidR="00FE7DF2" w:rsidRPr="00FE7DF2" w14:paraId="7E4522BD" w14:textId="77777777" w:rsidTr="00E84510">
        <w:trPr>
          <w:trHeight w:val="80"/>
        </w:trPr>
        <w:tc>
          <w:tcPr>
            <w:tcW w:w="2448" w:type="dxa"/>
            <w:vAlign w:val="center"/>
          </w:tcPr>
          <w:p w14:paraId="619D4479" w14:textId="77777777" w:rsidR="008A5B79" w:rsidRPr="00FE7DF2" w:rsidRDefault="008A5B79" w:rsidP="00183528">
            <w:pPr>
              <w:spacing w:after="0" w:line="240" w:lineRule="auto"/>
              <w:rPr>
                <w:rFonts w:ascii="Arial" w:hAnsi="Arial" w:cs="Arial"/>
                <w:b/>
                <w:sz w:val="16"/>
                <w:szCs w:val="16"/>
              </w:rPr>
            </w:pPr>
          </w:p>
        </w:tc>
        <w:tc>
          <w:tcPr>
            <w:tcW w:w="270" w:type="dxa"/>
          </w:tcPr>
          <w:p w14:paraId="6958C6DF" w14:textId="77777777" w:rsidR="008A5B79" w:rsidRPr="00FE7DF2" w:rsidRDefault="008A5B79" w:rsidP="00183528">
            <w:pPr>
              <w:spacing w:after="0" w:line="240" w:lineRule="auto"/>
              <w:rPr>
                <w:rFonts w:ascii="Arial" w:hAnsi="Arial" w:cs="Arial"/>
                <w:sz w:val="16"/>
                <w:szCs w:val="16"/>
              </w:rPr>
            </w:pPr>
          </w:p>
        </w:tc>
        <w:tc>
          <w:tcPr>
            <w:tcW w:w="1260" w:type="dxa"/>
          </w:tcPr>
          <w:p w14:paraId="0DD24EF4" w14:textId="77777777" w:rsidR="008A5B79" w:rsidRPr="00FE7DF2" w:rsidRDefault="008A5B79" w:rsidP="00183528">
            <w:pPr>
              <w:spacing w:after="0" w:line="240" w:lineRule="auto"/>
              <w:rPr>
                <w:rFonts w:ascii="Arial" w:hAnsi="Arial" w:cs="Arial"/>
                <w:sz w:val="16"/>
                <w:szCs w:val="16"/>
              </w:rPr>
            </w:pPr>
          </w:p>
        </w:tc>
        <w:tc>
          <w:tcPr>
            <w:tcW w:w="1350" w:type="dxa"/>
          </w:tcPr>
          <w:p w14:paraId="582B965E" w14:textId="77777777" w:rsidR="008A5B79" w:rsidRPr="00FE7DF2" w:rsidRDefault="008A5B79" w:rsidP="00183528">
            <w:pPr>
              <w:spacing w:after="0" w:line="240" w:lineRule="auto"/>
              <w:rPr>
                <w:rFonts w:ascii="Arial" w:hAnsi="Arial" w:cs="Arial"/>
                <w:sz w:val="16"/>
                <w:szCs w:val="16"/>
              </w:rPr>
            </w:pPr>
          </w:p>
        </w:tc>
        <w:tc>
          <w:tcPr>
            <w:tcW w:w="270" w:type="dxa"/>
          </w:tcPr>
          <w:p w14:paraId="1B34890A" w14:textId="77777777" w:rsidR="008A5B79" w:rsidRPr="00FE7DF2" w:rsidRDefault="008A5B79" w:rsidP="00183528">
            <w:pPr>
              <w:spacing w:after="0" w:line="240" w:lineRule="auto"/>
              <w:rPr>
                <w:rFonts w:ascii="Arial" w:hAnsi="Arial" w:cs="Arial"/>
                <w:sz w:val="16"/>
                <w:szCs w:val="16"/>
              </w:rPr>
            </w:pPr>
          </w:p>
        </w:tc>
        <w:tc>
          <w:tcPr>
            <w:tcW w:w="1800" w:type="dxa"/>
            <w:vAlign w:val="center"/>
          </w:tcPr>
          <w:p w14:paraId="497A05E5" w14:textId="77777777" w:rsidR="008A5B79" w:rsidRPr="00FE7DF2" w:rsidRDefault="008A5B79" w:rsidP="00183528">
            <w:pPr>
              <w:spacing w:after="0" w:line="240" w:lineRule="auto"/>
              <w:jc w:val="center"/>
              <w:rPr>
                <w:rFonts w:ascii="Arial" w:hAnsi="Arial" w:cs="Arial"/>
                <w:sz w:val="16"/>
                <w:szCs w:val="16"/>
              </w:rPr>
            </w:pPr>
          </w:p>
        </w:tc>
        <w:tc>
          <w:tcPr>
            <w:tcW w:w="1890" w:type="dxa"/>
            <w:vAlign w:val="center"/>
          </w:tcPr>
          <w:p w14:paraId="6941040C" w14:textId="77777777" w:rsidR="008A5B79" w:rsidRPr="00FE7DF2" w:rsidRDefault="008A5B79" w:rsidP="00183528">
            <w:pPr>
              <w:spacing w:after="0" w:line="240" w:lineRule="auto"/>
              <w:jc w:val="center"/>
              <w:rPr>
                <w:rFonts w:ascii="Arial" w:hAnsi="Arial" w:cs="Arial"/>
                <w:sz w:val="16"/>
                <w:szCs w:val="16"/>
              </w:rPr>
            </w:pPr>
          </w:p>
        </w:tc>
      </w:tr>
      <w:tr w:rsidR="00FE7DF2" w:rsidRPr="00FE7DF2" w14:paraId="47B4B274" w14:textId="77777777" w:rsidTr="00E84510">
        <w:trPr>
          <w:trHeight w:val="107"/>
        </w:trPr>
        <w:tc>
          <w:tcPr>
            <w:tcW w:w="2448" w:type="dxa"/>
            <w:vAlign w:val="center"/>
          </w:tcPr>
          <w:p w14:paraId="3D529975" w14:textId="77777777" w:rsidR="008A5B79" w:rsidRPr="00FE7DF2" w:rsidRDefault="008A5B79" w:rsidP="00183528">
            <w:pPr>
              <w:spacing w:after="0" w:line="240" w:lineRule="auto"/>
              <w:rPr>
                <w:rFonts w:ascii="Arial" w:hAnsi="Arial" w:cs="Arial"/>
                <w:b/>
                <w:sz w:val="18"/>
                <w:szCs w:val="18"/>
              </w:rPr>
            </w:pPr>
            <w:r w:rsidRPr="00FE7DF2">
              <w:rPr>
                <w:rFonts w:ascii="Arial" w:hAnsi="Arial" w:cs="Arial"/>
                <w:b/>
                <w:sz w:val="18"/>
                <w:szCs w:val="18"/>
              </w:rPr>
              <w:t>EBIT-adjusted</w:t>
            </w:r>
          </w:p>
        </w:tc>
        <w:tc>
          <w:tcPr>
            <w:tcW w:w="270" w:type="dxa"/>
          </w:tcPr>
          <w:p w14:paraId="24D5ED74" w14:textId="77777777" w:rsidR="008A5B79" w:rsidRPr="00FE7DF2" w:rsidRDefault="008A5B79" w:rsidP="00183528">
            <w:pPr>
              <w:spacing w:after="0" w:line="240" w:lineRule="auto"/>
              <w:rPr>
                <w:rFonts w:ascii="Arial" w:hAnsi="Arial" w:cs="Arial"/>
                <w:sz w:val="18"/>
                <w:szCs w:val="18"/>
              </w:rPr>
            </w:pPr>
          </w:p>
        </w:tc>
        <w:tc>
          <w:tcPr>
            <w:tcW w:w="1260" w:type="dxa"/>
            <w:vAlign w:val="center"/>
          </w:tcPr>
          <w:p w14:paraId="3E034DB6" w14:textId="77777777" w:rsidR="008A5B79" w:rsidRPr="00FE7DF2" w:rsidRDefault="008A5B79" w:rsidP="007A649F">
            <w:pPr>
              <w:spacing w:after="0" w:line="240" w:lineRule="auto"/>
              <w:jc w:val="center"/>
              <w:rPr>
                <w:rFonts w:ascii="Arial" w:hAnsi="Arial" w:cs="Arial"/>
                <w:sz w:val="18"/>
                <w:szCs w:val="18"/>
              </w:rPr>
            </w:pPr>
            <w:r w:rsidRPr="00FE7DF2">
              <w:rPr>
                <w:rFonts w:ascii="Arial" w:hAnsi="Arial" w:cs="Arial"/>
                <w:sz w:val="18"/>
                <w:szCs w:val="18"/>
              </w:rPr>
              <w:t>$1.</w:t>
            </w:r>
            <w:r w:rsidR="007A649F" w:rsidRPr="00FE7DF2">
              <w:rPr>
                <w:rFonts w:ascii="Arial" w:hAnsi="Arial" w:cs="Arial"/>
                <w:sz w:val="18"/>
                <w:szCs w:val="18"/>
              </w:rPr>
              <w:t>1</w:t>
            </w:r>
          </w:p>
        </w:tc>
        <w:tc>
          <w:tcPr>
            <w:tcW w:w="1350" w:type="dxa"/>
            <w:vAlign w:val="center"/>
          </w:tcPr>
          <w:p w14:paraId="1FC91F67" w14:textId="77777777" w:rsidR="008A5B79" w:rsidRPr="00FE7DF2" w:rsidRDefault="00AE5077" w:rsidP="00183528">
            <w:pPr>
              <w:spacing w:after="0" w:line="240" w:lineRule="auto"/>
              <w:jc w:val="center"/>
              <w:rPr>
                <w:rFonts w:ascii="Arial" w:hAnsi="Arial" w:cs="Arial"/>
                <w:sz w:val="18"/>
                <w:szCs w:val="18"/>
              </w:rPr>
            </w:pPr>
            <w:r w:rsidRPr="00FE7DF2">
              <w:rPr>
                <w:rFonts w:ascii="Arial" w:hAnsi="Arial" w:cs="Arial"/>
                <w:sz w:val="18"/>
                <w:szCs w:val="18"/>
              </w:rPr>
              <w:t>$1.2</w:t>
            </w:r>
          </w:p>
        </w:tc>
        <w:tc>
          <w:tcPr>
            <w:tcW w:w="270" w:type="dxa"/>
          </w:tcPr>
          <w:p w14:paraId="01C6758F" w14:textId="77777777" w:rsidR="008A5B79" w:rsidRPr="00FE7DF2" w:rsidRDefault="008A5B79" w:rsidP="00183528">
            <w:pPr>
              <w:spacing w:after="0" w:line="240" w:lineRule="auto"/>
              <w:rPr>
                <w:rFonts w:ascii="Arial" w:hAnsi="Arial" w:cs="Arial"/>
                <w:sz w:val="18"/>
                <w:szCs w:val="18"/>
              </w:rPr>
            </w:pPr>
          </w:p>
        </w:tc>
        <w:tc>
          <w:tcPr>
            <w:tcW w:w="1800" w:type="dxa"/>
            <w:vAlign w:val="center"/>
          </w:tcPr>
          <w:p w14:paraId="359898D6" w14:textId="77777777" w:rsidR="008A5B79" w:rsidRPr="00FE7DF2" w:rsidRDefault="008A5B79" w:rsidP="007A649F">
            <w:pPr>
              <w:spacing w:after="0" w:line="240" w:lineRule="auto"/>
              <w:jc w:val="center"/>
              <w:rPr>
                <w:rFonts w:ascii="Arial" w:hAnsi="Arial" w:cs="Arial"/>
                <w:sz w:val="18"/>
                <w:szCs w:val="18"/>
              </w:rPr>
            </w:pPr>
            <w:r w:rsidRPr="00FE7DF2">
              <w:rPr>
                <w:rFonts w:ascii="Arial" w:hAnsi="Arial" w:cs="Arial"/>
                <w:sz w:val="18"/>
                <w:szCs w:val="18"/>
              </w:rPr>
              <w:t>$</w:t>
            </w:r>
            <w:r w:rsidR="007A649F" w:rsidRPr="00FE7DF2">
              <w:rPr>
                <w:rFonts w:ascii="Arial" w:hAnsi="Arial" w:cs="Arial"/>
                <w:sz w:val="18"/>
                <w:szCs w:val="18"/>
              </w:rPr>
              <w:t>8.3</w:t>
            </w:r>
          </w:p>
        </w:tc>
        <w:tc>
          <w:tcPr>
            <w:tcW w:w="1890" w:type="dxa"/>
            <w:vAlign w:val="center"/>
          </w:tcPr>
          <w:p w14:paraId="3A2C11D4" w14:textId="77777777" w:rsidR="008A5B79" w:rsidRPr="00FE7DF2" w:rsidRDefault="00993DAF" w:rsidP="00183528">
            <w:pPr>
              <w:spacing w:after="0" w:line="240" w:lineRule="auto"/>
              <w:jc w:val="center"/>
              <w:rPr>
                <w:rFonts w:ascii="Arial" w:hAnsi="Arial" w:cs="Arial"/>
                <w:sz w:val="18"/>
                <w:szCs w:val="18"/>
              </w:rPr>
            </w:pPr>
            <w:r w:rsidRPr="00FE7DF2">
              <w:rPr>
                <w:rFonts w:ascii="Arial" w:hAnsi="Arial" w:cs="Arial"/>
                <w:sz w:val="18"/>
                <w:szCs w:val="18"/>
              </w:rPr>
              <w:t>$7.9</w:t>
            </w:r>
          </w:p>
        </w:tc>
      </w:tr>
      <w:tr w:rsidR="00FE7DF2" w:rsidRPr="00FE7DF2" w14:paraId="38BCD03D" w14:textId="77777777" w:rsidTr="00E84510">
        <w:tc>
          <w:tcPr>
            <w:tcW w:w="2448" w:type="dxa"/>
            <w:vAlign w:val="center"/>
          </w:tcPr>
          <w:p w14:paraId="7A2EEE12" w14:textId="77777777" w:rsidR="00680633" w:rsidRPr="00FE7DF2" w:rsidRDefault="00680633" w:rsidP="00183528">
            <w:pPr>
              <w:spacing w:after="0" w:line="240" w:lineRule="auto"/>
              <w:rPr>
                <w:rFonts w:ascii="Arial" w:hAnsi="Arial" w:cs="Arial"/>
                <w:b/>
                <w:sz w:val="18"/>
                <w:szCs w:val="18"/>
              </w:rPr>
            </w:pPr>
          </w:p>
          <w:p w14:paraId="757011E3" w14:textId="77777777" w:rsidR="008A5B79" w:rsidRPr="00FE7DF2" w:rsidRDefault="008A5B79" w:rsidP="00183528">
            <w:pPr>
              <w:spacing w:after="0" w:line="240" w:lineRule="auto"/>
              <w:rPr>
                <w:rFonts w:ascii="Arial" w:hAnsi="Arial" w:cs="Arial"/>
                <w:b/>
                <w:sz w:val="18"/>
                <w:szCs w:val="18"/>
              </w:rPr>
            </w:pPr>
            <w:r w:rsidRPr="00FE7DF2">
              <w:rPr>
                <w:rFonts w:ascii="Arial" w:hAnsi="Arial" w:cs="Arial"/>
                <w:b/>
                <w:sz w:val="18"/>
                <w:szCs w:val="18"/>
              </w:rPr>
              <w:t>Automotive net cash flow from operating activities</w:t>
            </w:r>
          </w:p>
        </w:tc>
        <w:tc>
          <w:tcPr>
            <w:tcW w:w="270" w:type="dxa"/>
          </w:tcPr>
          <w:p w14:paraId="676B1A4A" w14:textId="77777777" w:rsidR="008A5B79" w:rsidRPr="00FE7DF2" w:rsidRDefault="008A5B79" w:rsidP="00183528">
            <w:pPr>
              <w:spacing w:after="0" w:line="240" w:lineRule="auto"/>
              <w:rPr>
                <w:rFonts w:ascii="Arial" w:hAnsi="Arial" w:cs="Arial"/>
                <w:sz w:val="18"/>
                <w:szCs w:val="18"/>
              </w:rPr>
            </w:pPr>
          </w:p>
        </w:tc>
        <w:tc>
          <w:tcPr>
            <w:tcW w:w="1260" w:type="dxa"/>
            <w:vAlign w:val="center"/>
          </w:tcPr>
          <w:p w14:paraId="12DC6738" w14:textId="77777777" w:rsidR="00E84510" w:rsidRPr="00FE7DF2" w:rsidRDefault="00E84510" w:rsidP="00183528">
            <w:pPr>
              <w:spacing w:after="0" w:line="240" w:lineRule="auto"/>
              <w:jc w:val="center"/>
              <w:rPr>
                <w:rFonts w:ascii="Arial" w:hAnsi="Arial" w:cs="Arial"/>
                <w:sz w:val="18"/>
                <w:szCs w:val="18"/>
              </w:rPr>
            </w:pPr>
          </w:p>
          <w:p w14:paraId="2C709D1F" w14:textId="77777777" w:rsidR="00E84510" w:rsidRPr="00FE7DF2" w:rsidRDefault="00E84510" w:rsidP="00183528">
            <w:pPr>
              <w:spacing w:after="0" w:line="240" w:lineRule="auto"/>
              <w:jc w:val="center"/>
              <w:rPr>
                <w:rFonts w:ascii="Arial" w:hAnsi="Arial" w:cs="Arial"/>
                <w:sz w:val="18"/>
                <w:szCs w:val="18"/>
              </w:rPr>
            </w:pPr>
          </w:p>
          <w:p w14:paraId="77487691" w14:textId="77777777" w:rsidR="008A5B79" w:rsidRPr="00FE7DF2" w:rsidRDefault="007A649F" w:rsidP="00D3399A">
            <w:pPr>
              <w:spacing w:after="0" w:line="240" w:lineRule="auto"/>
              <w:jc w:val="center"/>
              <w:rPr>
                <w:rFonts w:ascii="Arial" w:hAnsi="Arial" w:cs="Arial"/>
                <w:sz w:val="18"/>
                <w:szCs w:val="18"/>
              </w:rPr>
            </w:pPr>
            <w:r w:rsidRPr="00FE7DF2">
              <w:rPr>
                <w:rFonts w:ascii="Arial" w:hAnsi="Arial" w:cs="Arial"/>
                <w:sz w:val="18"/>
                <w:szCs w:val="18"/>
              </w:rPr>
              <w:t>$</w:t>
            </w:r>
            <w:r w:rsidR="00D3399A">
              <w:rPr>
                <w:rFonts w:ascii="Arial" w:hAnsi="Arial" w:cs="Arial"/>
                <w:sz w:val="18"/>
                <w:szCs w:val="18"/>
              </w:rPr>
              <w:t>1.2</w:t>
            </w:r>
          </w:p>
        </w:tc>
        <w:tc>
          <w:tcPr>
            <w:tcW w:w="1350" w:type="dxa"/>
            <w:vAlign w:val="center"/>
          </w:tcPr>
          <w:p w14:paraId="31F97D61" w14:textId="77777777" w:rsidR="00E84510" w:rsidRPr="00FE7DF2" w:rsidRDefault="00E84510" w:rsidP="00183528">
            <w:pPr>
              <w:spacing w:after="0" w:line="240" w:lineRule="auto"/>
              <w:jc w:val="center"/>
              <w:rPr>
                <w:rFonts w:ascii="Arial" w:hAnsi="Arial" w:cs="Arial"/>
                <w:sz w:val="18"/>
                <w:szCs w:val="18"/>
              </w:rPr>
            </w:pPr>
          </w:p>
          <w:p w14:paraId="4B4BD0DF" w14:textId="77777777" w:rsidR="00E84510" w:rsidRPr="00FE7DF2" w:rsidRDefault="00E84510" w:rsidP="00183528">
            <w:pPr>
              <w:spacing w:after="0" w:line="240" w:lineRule="auto"/>
              <w:jc w:val="center"/>
              <w:rPr>
                <w:rFonts w:ascii="Arial" w:hAnsi="Arial" w:cs="Arial"/>
                <w:sz w:val="18"/>
                <w:szCs w:val="18"/>
              </w:rPr>
            </w:pPr>
          </w:p>
          <w:p w14:paraId="3698E4A9" w14:textId="77777777" w:rsidR="008A5B79" w:rsidRPr="00FE7DF2" w:rsidRDefault="00AE5077" w:rsidP="00D3399A">
            <w:pPr>
              <w:spacing w:after="0" w:line="240" w:lineRule="auto"/>
              <w:jc w:val="center"/>
              <w:rPr>
                <w:rFonts w:ascii="Arial" w:hAnsi="Arial" w:cs="Arial"/>
                <w:sz w:val="18"/>
                <w:szCs w:val="18"/>
              </w:rPr>
            </w:pPr>
            <w:r w:rsidRPr="00FE7DF2">
              <w:rPr>
                <w:rFonts w:ascii="Arial" w:hAnsi="Arial" w:cs="Arial"/>
                <w:sz w:val="18"/>
                <w:szCs w:val="18"/>
              </w:rPr>
              <w:t>$</w:t>
            </w:r>
            <w:r w:rsidR="00D3399A">
              <w:rPr>
                <w:rFonts w:ascii="Arial" w:hAnsi="Arial" w:cs="Arial"/>
                <w:sz w:val="18"/>
                <w:szCs w:val="18"/>
              </w:rPr>
              <w:t>0.5</w:t>
            </w:r>
          </w:p>
        </w:tc>
        <w:tc>
          <w:tcPr>
            <w:tcW w:w="270" w:type="dxa"/>
          </w:tcPr>
          <w:p w14:paraId="22890595" w14:textId="77777777" w:rsidR="008A5B79" w:rsidRPr="00FE7DF2" w:rsidRDefault="008A5B79" w:rsidP="00183528">
            <w:pPr>
              <w:spacing w:after="0" w:line="240" w:lineRule="auto"/>
              <w:rPr>
                <w:rFonts w:ascii="Arial" w:hAnsi="Arial" w:cs="Arial"/>
                <w:sz w:val="18"/>
                <w:szCs w:val="18"/>
              </w:rPr>
            </w:pPr>
          </w:p>
        </w:tc>
        <w:tc>
          <w:tcPr>
            <w:tcW w:w="1800" w:type="dxa"/>
            <w:vAlign w:val="center"/>
          </w:tcPr>
          <w:p w14:paraId="7DA7E4F7" w14:textId="77777777" w:rsidR="00E84510" w:rsidRPr="00FE7DF2" w:rsidRDefault="00E84510" w:rsidP="00183528">
            <w:pPr>
              <w:spacing w:after="0" w:line="240" w:lineRule="auto"/>
              <w:jc w:val="center"/>
              <w:rPr>
                <w:rFonts w:ascii="Arial" w:hAnsi="Arial" w:cs="Arial"/>
                <w:sz w:val="18"/>
                <w:szCs w:val="18"/>
              </w:rPr>
            </w:pPr>
          </w:p>
          <w:p w14:paraId="2D07CEA5" w14:textId="77777777" w:rsidR="00E84510" w:rsidRPr="00FE7DF2" w:rsidRDefault="00E84510" w:rsidP="00183528">
            <w:pPr>
              <w:spacing w:after="0" w:line="240" w:lineRule="auto"/>
              <w:jc w:val="center"/>
              <w:rPr>
                <w:rFonts w:ascii="Arial" w:hAnsi="Arial" w:cs="Arial"/>
                <w:sz w:val="18"/>
                <w:szCs w:val="18"/>
              </w:rPr>
            </w:pPr>
          </w:p>
          <w:p w14:paraId="1F8F4D9C" w14:textId="77777777" w:rsidR="008A5B79" w:rsidRPr="00FE7DF2" w:rsidRDefault="008A5B79" w:rsidP="007A649F">
            <w:pPr>
              <w:spacing w:after="0" w:line="240" w:lineRule="auto"/>
              <w:jc w:val="center"/>
              <w:rPr>
                <w:rFonts w:ascii="Arial" w:hAnsi="Arial" w:cs="Arial"/>
                <w:sz w:val="18"/>
                <w:szCs w:val="18"/>
              </w:rPr>
            </w:pPr>
            <w:r w:rsidRPr="00FE7DF2">
              <w:rPr>
                <w:rFonts w:ascii="Arial" w:hAnsi="Arial" w:cs="Arial"/>
                <w:sz w:val="18"/>
                <w:szCs w:val="18"/>
              </w:rPr>
              <w:t>$</w:t>
            </w:r>
            <w:r w:rsidR="007A649F" w:rsidRPr="00FE7DF2">
              <w:rPr>
                <w:rFonts w:ascii="Arial" w:hAnsi="Arial" w:cs="Arial"/>
                <w:sz w:val="18"/>
                <w:szCs w:val="18"/>
              </w:rPr>
              <w:t>7.4</w:t>
            </w:r>
          </w:p>
        </w:tc>
        <w:tc>
          <w:tcPr>
            <w:tcW w:w="1890" w:type="dxa"/>
            <w:vAlign w:val="center"/>
          </w:tcPr>
          <w:p w14:paraId="57A11FF4" w14:textId="77777777" w:rsidR="00E84510" w:rsidRPr="00FE7DF2" w:rsidRDefault="00E84510" w:rsidP="00183528">
            <w:pPr>
              <w:spacing w:after="0" w:line="240" w:lineRule="auto"/>
              <w:jc w:val="center"/>
              <w:rPr>
                <w:rFonts w:ascii="Arial" w:hAnsi="Arial" w:cs="Arial"/>
                <w:sz w:val="18"/>
                <w:szCs w:val="18"/>
              </w:rPr>
            </w:pPr>
          </w:p>
          <w:p w14:paraId="5B53BC04" w14:textId="77777777" w:rsidR="00E84510" w:rsidRPr="00FE7DF2" w:rsidRDefault="00E84510" w:rsidP="00183528">
            <w:pPr>
              <w:spacing w:after="0" w:line="240" w:lineRule="auto"/>
              <w:jc w:val="center"/>
              <w:rPr>
                <w:rFonts w:ascii="Arial" w:hAnsi="Arial" w:cs="Arial"/>
                <w:sz w:val="18"/>
                <w:szCs w:val="18"/>
              </w:rPr>
            </w:pPr>
          </w:p>
          <w:p w14:paraId="3660C044" w14:textId="77777777" w:rsidR="008A5B79" w:rsidRPr="00FE7DF2" w:rsidRDefault="00A77D52" w:rsidP="003C7819">
            <w:pPr>
              <w:spacing w:after="0" w:line="240" w:lineRule="auto"/>
              <w:jc w:val="center"/>
              <w:rPr>
                <w:rFonts w:ascii="Arial" w:hAnsi="Arial" w:cs="Arial"/>
                <w:sz w:val="18"/>
                <w:szCs w:val="18"/>
              </w:rPr>
            </w:pPr>
            <w:r w:rsidRPr="00FE7DF2">
              <w:rPr>
                <w:rFonts w:ascii="Arial" w:hAnsi="Arial" w:cs="Arial"/>
                <w:sz w:val="18"/>
                <w:szCs w:val="18"/>
              </w:rPr>
              <w:t>$9.6</w:t>
            </w:r>
          </w:p>
        </w:tc>
      </w:tr>
      <w:tr w:rsidR="008A5B79" w:rsidRPr="00FE7DF2" w14:paraId="1E853129" w14:textId="77777777" w:rsidTr="00E84510">
        <w:tc>
          <w:tcPr>
            <w:tcW w:w="2448" w:type="dxa"/>
            <w:vAlign w:val="center"/>
          </w:tcPr>
          <w:p w14:paraId="3E8D7E57" w14:textId="77777777" w:rsidR="00680633" w:rsidRPr="00FE7DF2" w:rsidRDefault="00680633" w:rsidP="00183528">
            <w:pPr>
              <w:spacing w:after="0" w:line="240" w:lineRule="auto"/>
              <w:rPr>
                <w:rFonts w:ascii="Arial" w:hAnsi="Arial" w:cs="Arial"/>
                <w:b/>
                <w:sz w:val="18"/>
                <w:szCs w:val="18"/>
              </w:rPr>
            </w:pPr>
          </w:p>
          <w:p w14:paraId="5534A2B3" w14:textId="77777777" w:rsidR="008A5B79" w:rsidRPr="00FE7DF2" w:rsidRDefault="005C3DBE" w:rsidP="00183528">
            <w:pPr>
              <w:spacing w:after="0" w:line="240" w:lineRule="auto"/>
              <w:rPr>
                <w:rFonts w:ascii="Arial" w:hAnsi="Arial" w:cs="Arial"/>
                <w:b/>
                <w:sz w:val="18"/>
                <w:szCs w:val="18"/>
              </w:rPr>
            </w:pPr>
            <w:r>
              <w:rPr>
                <w:rFonts w:ascii="Arial" w:hAnsi="Arial" w:cs="Arial"/>
                <w:b/>
                <w:sz w:val="18"/>
                <w:szCs w:val="18"/>
              </w:rPr>
              <w:t>Adjusted a</w:t>
            </w:r>
            <w:r w:rsidR="008A5B79" w:rsidRPr="00FE7DF2">
              <w:rPr>
                <w:rFonts w:ascii="Arial" w:hAnsi="Arial" w:cs="Arial"/>
                <w:b/>
                <w:sz w:val="18"/>
                <w:szCs w:val="18"/>
              </w:rPr>
              <w:t xml:space="preserve">utomotive </w:t>
            </w:r>
          </w:p>
          <w:p w14:paraId="5F5297B9" w14:textId="77777777" w:rsidR="008A5B79" w:rsidRPr="00FE7DF2" w:rsidRDefault="008A5B79" w:rsidP="005C3DBE">
            <w:pPr>
              <w:spacing w:after="0" w:line="240" w:lineRule="auto"/>
              <w:rPr>
                <w:rFonts w:ascii="Arial" w:hAnsi="Arial" w:cs="Arial"/>
                <w:b/>
                <w:sz w:val="18"/>
                <w:szCs w:val="18"/>
              </w:rPr>
            </w:pPr>
            <w:r w:rsidRPr="00FE7DF2">
              <w:rPr>
                <w:rFonts w:ascii="Arial" w:hAnsi="Arial" w:cs="Arial"/>
                <w:b/>
                <w:sz w:val="18"/>
                <w:szCs w:val="18"/>
              </w:rPr>
              <w:t>free cash flow</w:t>
            </w:r>
            <w:r w:rsidR="00846E32">
              <w:rPr>
                <w:rFonts w:ascii="Arial" w:hAnsi="Arial" w:cs="Arial"/>
                <w:b/>
                <w:sz w:val="18"/>
                <w:szCs w:val="18"/>
              </w:rPr>
              <w:t xml:space="preserve"> </w:t>
            </w:r>
          </w:p>
        </w:tc>
        <w:tc>
          <w:tcPr>
            <w:tcW w:w="270" w:type="dxa"/>
          </w:tcPr>
          <w:p w14:paraId="7E938738" w14:textId="77777777" w:rsidR="008A5B79" w:rsidRPr="00FE7DF2" w:rsidRDefault="008A5B79" w:rsidP="00183528">
            <w:pPr>
              <w:spacing w:after="0" w:line="240" w:lineRule="auto"/>
              <w:rPr>
                <w:rFonts w:ascii="Arial" w:hAnsi="Arial" w:cs="Arial"/>
                <w:sz w:val="18"/>
                <w:szCs w:val="18"/>
              </w:rPr>
            </w:pPr>
          </w:p>
        </w:tc>
        <w:tc>
          <w:tcPr>
            <w:tcW w:w="1260" w:type="dxa"/>
            <w:vAlign w:val="center"/>
          </w:tcPr>
          <w:p w14:paraId="7CB76893" w14:textId="77777777" w:rsidR="00E84510" w:rsidRPr="00FE7DF2" w:rsidRDefault="00E84510" w:rsidP="00183528">
            <w:pPr>
              <w:spacing w:after="0" w:line="240" w:lineRule="auto"/>
              <w:jc w:val="center"/>
              <w:rPr>
                <w:rFonts w:ascii="Arial" w:hAnsi="Arial" w:cs="Arial"/>
                <w:sz w:val="18"/>
                <w:szCs w:val="18"/>
              </w:rPr>
            </w:pPr>
          </w:p>
          <w:p w14:paraId="2333CBB6" w14:textId="77777777" w:rsidR="00E84510" w:rsidRPr="00FE7DF2" w:rsidRDefault="00E84510" w:rsidP="00183528">
            <w:pPr>
              <w:spacing w:after="0" w:line="240" w:lineRule="auto"/>
              <w:jc w:val="center"/>
              <w:rPr>
                <w:rFonts w:ascii="Arial" w:hAnsi="Arial" w:cs="Arial"/>
                <w:sz w:val="18"/>
                <w:szCs w:val="18"/>
              </w:rPr>
            </w:pPr>
          </w:p>
          <w:p w14:paraId="151AC5C9" w14:textId="77777777" w:rsidR="008A5B79" w:rsidRPr="00FE7DF2" w:rsidRDefault="007A649F" w:rsidP="007314C4">
            <w:pPr>
              <w:spacing w:after="0" w:line="240" w:lineRule="auto"/>
              <w:jc w:val="center"/>
              <w:rPr>
                <w:rFonts w:ascii="Arial" w:hAnsi="Arial" w:cs="Arial"/>
                <w:sz w:val="18"/>
                <w:szCs w:val="18"/>
              </w:rPr>
            </w:pPr>
            <w:r w:rsidRPr="00FE7DF2">
              <w:rPr>
                <w:rFonts w:ascii="Arial" w:hAnsi="Arial" w:cs="Arial"/>
                <w:sz w:val="18"/>
                <w:szCs w:val="18"/>
              </w:rPr>
              <w:t>($</w:t>
            </w:r>
            <w:r w:rsidR="005C3DBE">
              <w:rPr>
                <w:rFonts w:ascii="Arial" w:hAnsi="Arial" w:cs="Arial"/>
                <w:sz w:val="18"/>
                <w:szCs w:val="18"/>
              </w:rPr>
              <w:t>0.2</w:t>
            </w:r>
            <w:r w:rsidR="008A5B79" w:rsidRPr="00FE7DF2">
              <w:rPr>
                <w:rFonts w:ascii="Arial" w:hAnsi="Arial" w:cs="Arial"/>
                <w:sz w:val="18"/>
                <w:szCs w:val="18"/>
              </w:rPr>
              <w:t>)</w:t>
            </w:r>
          </w:p>
        </w:tc>
        <w:tc>
          <w:tcPr>
            <w:tcW w:w="1350" w:type="dxa"/>
            <w:vAlign w:val="center"/>
          </w:tcPr>
          <w:p w14:paraId="3F225A21" w14:textId="77777777" w:rsidR="00E84510" w:rsidRPr="00FE7DF2" w:rsidRDefault="00E84510" w:rsidP="00183528">
            <w:pPr>
              <w:spacing w:after="0" w:line="240" w:lineRule="auto"/>
              <w:jc w:val="center"/>
              <w:rPr>
                <w:rFonts w:ascii="Arial" w:hAnsi="Arial" w:cs="Arial"/>
                <w:sz w:val="18"/>
                <w:szCs w:val="18"/>
              </w:rPr>
            </w:pPr>
          </w:p>
          <w:p w14:paraId="23E880FA" w14:textId="77777777" w:rsidR="00E84510" w:rsidRPr="00FE7DF2" w:rsidRDefault="00E84510" w:rsidP="00183528">
            <w:pPr>
              <w:spacing w:after="0" w:line="240" w:lineRule="auto"/>
              <w:jc w:val="center"/>
              <w:rPr>
                <w:rFonts w:ascii="Arial" w:hAnsi="Arial" w:cs="Arial"/>
                <w:sz w:val="18"/>
                <w:szCs w:val="18"/>
              </w:rPr>
            </w:pPr>
          </w:p>
          <w:p w14:paraId="29A8BA42" w14:textId="77777777" w:rsidR="008A5B79" w:rsidRPr="00FE7DF2" w:rsidRDefault="007314C4" w:rsidP="007314C4">
            <w:pPr>
              <w:spacing w:after="0" w:line="240" w:lineRule="auto"/>
              <w:jc w:val="center"/>
              <w:rPr>
                <w:rFonts w:ascii="Arial" w:hAnsi="Arial" w:cs="Arial"/>
                <w:sz w:val="18"/>
                <w:szCs w:val="18"/>
              </w:rPr>
            </w:pPr>
            <w:r>
              <w:rPr>
                <w:rFonts w:ascii="Arial" w:hAnsi="Arial" w:cs="Arial"/>
                <w:sz w:val="18"/>
                <w:szCs w:val="18"/>
              </w:rPr>
              <w:t>$1.1</w:t>
            </w:r>
          </w:p>
        </w:tc>
        <w:tc>
          <w:tcPr>
            <w:tcW w:w="270" w:type="dxa"/>
          </w:tcPr>
          <w:p w14:paraId="48FE3BBC" w14:textId="77777777" w:rsidR="008A5B79" w:rsidRPr="00FE7DF2" w:rsidRDefault="008A5B79" w:rsidP="00183528">
            <w:pPr>
              <w:spacing w:after="0" w:line="240" w:lineRule="auto"/>
              <w:rPr>
                <w:rFonts w:ascii="Arial" w:hAnsi="Arial" w:cs="Arial"/>
                <w:sz w:val="18"/>
                <w:szCs w:val="18"/>
              </w:rPr>
            </w:pPr>
          </w:p>
        </w:tc>
        <w:tc>
          <w:tcPr>
            <w:tcW w:w="1800" w:type="dxa"/>
            <w:vAlign w:val="center"/>
          </w:tcPr>
          <w:p w14:paraId="5C467941" w14:textId="77777777" w:rsidR="00E84510" w:rsidRPr="00FE7DF2" w:rsidRDefault="00E84510" w:rsidP="00183528">
            <w:pPr>
              <w:spacing w:after="0" w:line="240" w:lineRule="auto"/>
              <w:jc w:val="center"/>
              <w:rPr>
                <w:rFonts w:ascii="Arial" w:hAnsi="Arial" w:cs="Arial"/>
                <w:sz w:val="18"/>
                <w:szCs w:val="18"/>
              </w:rPr>
            </w:pPr>
          </w:p>
          <w:p w14:paraId="16A6AA47" w14:textId="77777777" w:rsidR="00E84510" w:rsidRPr="00FE7DF2" w:rsidRDefault="00E84510" w:rsidP="00183528">
            <w:pPr>
              <w:spacing w:after="0" w:line="240" w:lineRule="auto"/>
              <w:jc w:val="center"/>
              <w:rPr>
                <w:rFonts w:ascii="Arial" w:hAnsi="Arial" w:cs="Arial"/>
                <w:sz w:val="18"/>
                <w:szCs w:val="18"/>
              </w:rPr>
            </w:pPr>
          </w:p>
          <w:p w14:paraId="12DF1C58" w14:textId="77777777" w:rsidR="008A5B79" w:rsidRPr="00FE7DF2" w:rsidRDefault="008A5B79" w:rsidP="007314C4">
            <w:pPr>
              <w:spacing w:after="0" w:line="240" w:lineRule="auto"/>
              <w:jc w:val="center"/>
              <w:rPr>
                <w:rFonts w:ascii="Arial" w:hAnsi="Arial" w:cs="Arial"/>
                <w:sz w:val="18"/>
                <w:szCs w:val="18"/>
              </w:rPr>
            </w:pPr>
            <w:r w:rsidRPr="00FE7DF2">
              <w:rPr>
                <w:rFonts w:ascii="Arial" w:hAnsi="Arial" w:cs="Arial"/>
                <w:sz w:val="18"/>
                <w:szCs w:val="18"/>
              </w:rPr>
              <w:t>$</w:t>
            </w:r>
            <w:r w:rsidR="00E1104A">
              <w:rPr>
                <w:rFonts w:ascii="Arial" w:hAnsi="Arial" w:cs="Arial"/>
                <w:sz w:val="18"/>
                <w:szCs w:val="18"/>
              </w:rPr>
              <w:t>3.0</w:t>
            </w:r>
          </w:p>
        </w:tc>
        <w:tc>
          <w:tcPr>
            <w:tcW w:w="1890" w:type="dxa"/>
            <w:vAlign w:val="center"/>
          </w:tcPr>
          <w:p w14:paraId="144F1870" w14:textId="77777777" w:rsidR="00E84510" w:rsidRPr="00FE7DF2" w:rsidRDefault="00E84510" w:rsidP="00183528">
            <w:pPr>
              <w:spacing w:after="0" w:line="240" w:lineRule="auto"/>
              <w:jc w:val="center"/>
              <w:rPr>
                <w:rFonts w:ascii="Arial" w:hAnsi="Arial" w:cs="Arial"/>
                <w:sz w:val="18"/>
                <w:szCs w:val="18"/>
              </w:rPr>
            </w:pPr>
          </w:p>
          <w:p w14:paraId="39694A91" w14:textId="77777777" w:rsidR="00E84510" w:rsidRPr="00FE7DF2" w:rsidRDefault="00E84510" w:rsidP="00183528">
            <w:pPr>
              <w:spacing w:after="0" w:line="240" w:lineRule="auto"/>
              <w:jc w:val="center"/>
              <w:rPr>
                <w:rFonts w:ascii="Arial" w:hAnsi="Arial" w:cs="Arial"/>
                <w:sz w:val="18"/>
                <w:szCs w:val="18"/>
              </w:rPr>
            </w:pPr>
          </w:p>
          <w:p w14:paraId="175E7A44" w14:textId="77777777" w:rsidR="008A5B79" w:rsidRPr="00FE7DF2" w:rsidRDefault="007314C4" w:rsidP="007314C4">
            <w:pPr>
              <w:spacing w:after="0" w:line="240" w:lineRule="auto"/>
              <w:jc w:val="center"/>
              <w:rPr>
                <w:rFonts w:ascii="Arial" w:hAnsi="Arial" w:cs="Arial"/>
                <w:sz w:val="18"/>
                <w:szCs w:val="18"/>
              </w:rPr>
            </w:pPr>
            <w:r>
              <w:rPr>
                <w:rFonts w:ascii="Arial" w:hAnsi="Arial" w:cs="Arial"/>
                <w:sz w:val="18"/>
                <w:szCs w:val="18"/>
              </w:rPr>
              <w:t>$4.3</w:t>
            </w:r>
          </w:p>
        </w:tc>
      </w:tr>
    </w:tbl>
    <w:p w14:paraId="76BBBD0B" w14:textId="77777777" w:rsidR="008A5B79" w:rsidRPr="00FE7DF2" w:rsidRDefault="008A5B79" w:rsidP="008A5B79">
      <w:pPr>
        <w:pStyle w:val="NoSpacing"/>
        <w:rPr>
          <w:rFonts w:ascii="Arial" w:hAnsi="Arial" w:cs="Arial"/>
          <w:b/>
        </w:rPr>
      </w:pPr>
    </w:p>
    <w:p w14:paraId="1B505652" w14:textId="77777777" w:rsidR="004E2174" w:rsidRPr="00FE7DF2" w:rsidRDefault="004E2174" w:rsidP="006907A9">
      <w:pPr>
        <w:autoSpaceDE w:val="0"/>
        <w:autoSpaceDN w:val="0"/>
        <w:adjustRightInd w:val="0"/>
        <w:spacing w:after="0" w:line="240" w:lineRule="auto"/>
        <w:rPr>
          <w:rFonts w:ascii="Arial" w:hAnsi="Arial" w:cs="Arial"/>
          <w:b/>
        </w:rPr>
      </w:pPr>
      <w:r w:rsidRPr="00FE7DF2">
        <w:rPr>
          <w:rFonts w:ascii="Arial" w:hAnsi="Arial" w:cs="Arial"/>
          <w:b/>
        </w:rPr>
        <w:t>Fourth Quarter Results</w:t>
      </w:r>
    </w:p>
    <w:p w14:paraId="740C3D0F" w14:textId="77777777" w:rsidR="00046FF3" w:rsidRDefault="00334984" w:rsidP="006907A9">
      <w:pPr>
        <w:autoSpaceDE w:val="0"/>
        <w:autoSpaceDN w:val="0"/>
        <w:adjustRightInd w:val="0"/>
        <w:spacing w:after="0" w:line="240" w:lineRule="auto"/>
        <w:rPr>
          <w:rFonts w:ascii="Arial" w:hAnsi="Arial" w:cs="Arial"/>
        </w:rPr>
      </w:pPr>
      <w:r w:rsidRPr="00BD3FE6">
        <w:rPr>
          <w:rFonts w:ascii="Arial" w:hAnsi="Arial" w:cs="Arial"/>
        </w:rPr>
        <w:t>R</w:t>
      </w:r>
      <w:r w:rsidR="001F6CB0" w:rsidRPr="00BD3FE6">
        <w:rPr>
          <w:rFonts w:ascii="Arial" w:hAnsi="Arial" w:cs="Arial"/>
        </w:rPr>
        <w:t>evenue in the fourth quarter</w:t>
      </w:r>
      <w:r w:rsidRPr="00BD3FE6">
        <w:rPr>
          <w:rFonts w:ascii="Arial" w:hAnsi="Arial" w:cs="Arial"/>
        </w:rPr>
        <w:t xml:space="preserve"> of </w:t>
      </w:r>
      <w:r w:rsidR="007A649F" w:rsidRPr="00BD3FE6">
        <w:rPr>
          <w:rFonts w:ascii="Arial" w:hAnsi="Arial" w:cs="Arial"/>
        </w:rPr>
        <w:t>2012</w:t>
      </w:r>
      <w:r w:rsidR="001F6CB0" w:rsidRPr="00BD3FE6">
        <w:rPr>
          <w:rFonts w:ascii="Arial" w:hAnsi="Arial" w:cs="Arial"/>
        </w:rPr>
        <w:t xml:space="preserve"> increased </w:t>
      </w:r>
      <w:r w:rsidR="00783BA3" w:rsidRPr="00BD3FE6">
        <w:rPr>
          <w:rFonts w:ascii="Arial" w:hAnsi="Arial" w:cs="Arial"/>
        </w:rPr>
        <w:t>3</w:t>
      </w:r>
      <w:r w:rsidR="001F6CB0" w:rsidRPr="00BD3FE6">
        <w:rPr>
          <w:rFonts w:ascii="Arial" w:hAnsi="Arial" w:cs="Arial"/>
        </w:rPr>
        <w:t xml:space="preserve"> percent to $</w:t>
      </w:r>
      <w:r w:rsidR="00DC41BF" w:rsidRPr="00BD3FE6">
        <w:rPr>
          <w:rFonts w:ascii="Arial" w:hAnsi="Arial" w:cs="Arial"/>
        </w:rPr>
        <w:t>39.3</w:t>
      </w:r>
      <w:r w:rsidR="001F6CB0" w:rsidRPr="00BD3FE6">
        <w:rPr>
          <w:rFonts w:ascii="Arial" w:hAnsi="Arial" w:cs="Arial"/>
        </w:rPr>
        <w:t xml:space="preserve"> billion, compared with the fourth quarter of </w:t>
      </w:r>
      <w:r w:rsidR="007A649F" w:rsidRPr="00BD3FE6">
        <w:rPr>
          <w:rFonts w:ascii="Arial" w:hAnsi="Arial" w:cs="Arial"/>
        </w:rPr>
        <w:t>2011</w:t>
      </w:r>
      <w:r w:rsidR="001F6CB0" w:rsidRPr="00BD3FE6">
        <w:rPr>
          <w:rFonts w:ascii="Arial" w:hAnsi="Arial" w:cs="Arial"/>
        </w:rPr>
        <w:t xml:space="preserve">.  </w:t>
      </w:r>
      <w:r w:rsidR="00C51847" w:rsidRPr="00BD3FE6">
        <w:rPr>
          <w:rFonts w:ascii="Arial" w:hAnsi="Arial" w:cs="Arial"/>
        </w:rPr>
        <w:t xml:space="preserve">GM’s fourth quarter </w:t>
      </w:r>
      <w:r w:rsidR="007A649F" w:rsidRPr="00BD3FE6">
        <w:rPr>
          <w:rFonts w:ascii="Arial" w:hAnsi="Arial" w:cs="Arial"/>
        </w:rPr>
        <w:t>2012</w:t>
      </w:r>
      <w:r w:rsidR="00C51847" w:rsidRPr="00BD3FE6">
        <w:rPr>
          <w:rFonts w:ascii="Arial" w:hAnsi="Arial" w:cs="Arial"/>
        </w:rPr>
        <w:t xml:space="preserve"> net </w:t>
      </w:r>
      <w:r w:rsidR="00CA6A59" w:rsidRPr="00BD3FE6">
        <w:rPr>
          <w:rFonts w:ascii="Arial" w:hAnsi="Arial" w:cs="Arial"/>
        </w:rPr>
        <w:t>income</w:t>
      </w:r>
      <w:r w:rsidR="00C51847" w:rsidRPr="00BD3FE6">
        <w:rPr>
          <w:rFonts w:ascii="Arial" w:hAnsi="Arial" w:cs="Arial"/>
        </w:rPr>
        <w:t xml:space="preserve"> attributable to common stockholders was $</w:t>
      </w:r>
      <w:r w:rsidR="00CA6A59" w:rsidRPr="00BD3FE6">
        <w:rPr>
          <w:rFonts w:ascii="Arial" w:hAnsi="Arial" w:cs="Arial"/>
        </w:rPr>
        <w:t>0.9</w:t>
      </w:r>
      <w:r w:rsidR="00827083" w:rsidRPr="00BD3FE6">
        <w:rPr>
          <w:rFonts w:ascii="Arial" w:hAnsi="Arial" w:cs="Arial"/>
        </w:rPr>
        <w:t xml:space="preserve"> billion, or $0.</w:t>
      </w:r>
      <w:r w:rsidR="00CA6A59" w:rsidRPr="00BD3FE6">
        <w:rPr>
          <w:rFonts w:ascii="Arial" w:hAnsi="Arial" w:cs="Arial"/>
        </w:rPr>
        <w:t>5</w:t>
      </w:r>
      <w:r w:rsidR="00C122D0" w:rsidRPr="00BD3FE6">
        <w:rPr>
          <w:rFonts w:ascii="Arial" w:hAnsi="Arial" w:cs="Arial"/>
        </w:rPr>
        <w:t>4</w:t>
      </w:r>
      <w:r w:rsidR="00827083" w:rsidRPr="00BD3FE6">
        <w:rPr>
          <w:rFonts w:ascii="Arial" w:hAnsi="Arial" w:cs="Arial"/>
        </w:rPr>
        <w:t xml:space="preserve"> per fully </w:t>
      </w:r>
      <w:r w:rsidR="00C51847" w:rsidRPr="00BD3FE6">
        <w:rPr>
          <w:rFonts w:ascii="Arial" w:hAnsi="Arial" w:cs="Arial"/>
        </w:rPr>
        <w:t>diluted share</w:t>
      </w:r>
      <w:r w:rsidR="00724C36" w:rsidRPr="00BD3FE6">
        <w:rPr>
          <w:rFonts w:ascii="Arial" w:hAnsi="Arial" w:cs="Arial"/>
        </w:rPr>
        <w:t xml:space="preserve">, </w:t>
      </w:r>
      <w:r w:rsidR="00183528" w:rsidRPr="00BD3FE6">
        <w:rPr>
          <w:rFonts w:ascii="Arial" w:hAnsi="Arial" w:cs="Arial"/>
        </w:rPr>
        <w:t xml:space="preserve">including a net </w:t>
      </w:r>
      <w:r w:rsidR="00ED44A1" w:rsidRPr="00BD3FE6">
        <w:rPr>
          <w:rFonts w:ascii="Arial" w:hAnsi="Arial" w:cs="Arial"/>
        </w:rPr>
        <w:t>gain</w:t>
      </w:r>
      <w:r w:rsidR="00183528" w:rsidRPr="00BD3FE6">
        <w:rPr>
          <w:rFonts w:ascii="Arial" w:hAnsi="Arial" w:cs="Arial"/>
        </w:rPr>
        <w:t xml:space="preserve"> from </w:t>
      </w:r>
      <w:r w:rsidR="00724C36" w:rsidRPr="00BD3FE6">
        <w:rPr>
          <w:rFonts w:ascii="Arial" w:hAnsi="Arial" w:cs="Arial"/>
        </w:rPr>
        <w:t xml:space="preserve">special </w:t>
      </w:r>
      <w:r w:rsidR="00680633" w:rsidRPr="00BD3FE6">
        <w:rPr>
          <w:rFonts w:ascii="Arial" w:hAnsi="Arial" w:cs="Arial"/>
        </w:rPr>
        <w:t xml:space="preserve">items </w:t>
      </w:r>
      <w:r w:rsidR="00183528" w:rsidRPr="00BD3FE6">
        <w:rPr>
          <w:rFonts w:ascii="Arial" w:hAnsi="Arial" w:cs="Arial"/>
        </w:rPr>
        <w:t>of</w:t>
      </w:r>
      <w:r w:rsidR="007A649F" w:rsidRPr="00BD3FE6">
        <w:rPr>
          <w:rFonts w:ascii="Arial" w:hAnsi="Arial" w:cs="Arial"/>
        </w:rPr>
        <w:t xml:space="preserve"> $</w:t>
      </w:r>
      <w:r w:rsidR="00ED44A1" w:rsidRPr="00BD3FE6">
        <w:rPr>
          <w:rFonts w:ascii="Arial" w:hAnsi="Arial" w:cs="Arial"/>
        </w:rPr>
        <w:t>0.1</w:t>
      </w:r>
      <w:r w:rsidR="009203EB" w:rsidRPr="00BD3FE6">
        <w:rPr>
          <w:rFonts w:ascii="Arial" w:hAnsi="Arial" w:cs="Arial"/>
        </w:rPr>
        <w:t> </w:t>
      </w:r>
      <w:r w:rsidR="001F6CB0" w:rsidRPr="00BD3FE6">
        <w:rPr>
          <w:rFonts w:ascii="Arial" w:hAnsi="Arial" w:cs="Arial"/>
        </w:rPr>
        <w:t>billion or $0.</w:t>
      </w:r>
      <w:r w:rsidR="00CA6A59" w:rsidRPr="00BD3FE6">
        <w:rPr>
          <w:rFonts w:ascii="Arial" w:hAnsi="Arial" w:cs="Arial"/>
        </w:rPr>
        <w:t>0</w:t>
      </w:r>
      <w:r w:rsidR="00BD3FE6" w:rsidRPr="00BD3FE6">
        <w:rPr>
          <w:rFonts w:ascii="Arial" w:hAnsi="Arial" w:cs="Arial"/>
        </w:rPr>
        <w:t>6</w:t>
      </w:r>
      <w:r w:rsidR="001F6CB0" w:rsidRPr="00BD3FE6">
        <w:rPr>
          <w:rFonts w:ascii="Arial" w:hAnsi="Arial" w:cs="Arial"/>
        </w:rPr>
        <w:t xml:space="preserve"> per </w:t>
      </w:r>
      <w:r w:rsidR="00827083" w:rsidRPr="00BD3FE6">
        <w:rPr>
          <w:rFonts w:ascii="Arial" w:hAnsi="Arial" w:cs="Arial"/>
        </w:rPr>
        <w:t xml:space="preserve">fully </w:t>
      </w:r>
      <w:r w:rsidR="001F6CB0" w:rsidRPr="00BD3FE6">
        <w:rPr>
          <w:rFonts w:ascii="Arial" w:hAnsi="Arial" w:cs="Arial"/>
        </w:rPr>
        <w:t xml:space="preserve">diluted share.  </w:t>
      </w:r>
    </w:p>
    <w:p w14:paraId="148F6E46" w14:textId="77777777" w:rsidR="00046FF3" w:rsidRDefault="00046FF3" w:rsidP="006907A9">
      <w:pPr>
        <w:autoSpaceDE w:val="0"/>
        <w:autoSpaceDN w:val="0"/>
        <w:adjustRightInd w:val="0"/>
        <w:spacing w:after="0" w:line="240" w:lineRule="auto"/>
        <w:rPr>
          <w:rFonts w:ascii="Arial" w:hAnsi="Arial" w:cs="Arial"/>
        </w:rPr>
      </w:pPr>
    </w:p>
    <w:p w14:paraId="5D8636CA" w14:textId="77777777" w:rsidR="00441462" w:rsidRPr="00C122D0" w:rsidRDefault="00046FF3" w:rsidP="006907A9">
      <w:pPr>
        <w:autoSpaceDE w:val="0"/>
        <w:autoSpaceDN w:val="0"/>
        <w:adjustRightInd w:val="0"/>
        <w:spacing w:after="0" w:line="240" w:lineRule="auto"/>
        <w:rPr>
          <w:rFonts w:ascii="Arial" w:hAnsi="Arial" w:cs="Arial"/>
          <w:color w:val="FF0000"/>
        </w:rPr>
      </w:pPr>
      <w:r>
        <w:rPr>
          <w:rFonts w:ascii="Arial" w:hAnsi="Arial" w:cs="Arial"/>
        </w:rPr>
        <w:t>In the fourth quarter of 2011, GM’s net income attributable to common stockholders was $0.5</w:t>
      </w:r>
      <w:r w:rsidR="000E2A10">
        <w:rPr>
          <w:rFonts w:ascii="Arial" w:hAnsi="Arial" w:cs="Arial"/>
        </w:rPr>
        <w:t xml:space="preserve"> billion,</w:t>
      </w:r>
      <w:r>
        <w:rPr>
          <w:rFonts w:ascii="Arial" w:hAnsi="Arial" w:cs="Arial"/>
        </w:rPr>
        <w:t xml:space="preserve"> or $0.28 per fully diluted share, including a net loss from special items of $(0.2) billion, or $(0.11) per fully diluted share. </w:t>
      </w:r>
    </w:p>
    <w:p w14:paraId="00F0C88A" w14:textId="77777777" w:rsidR="00680633" w:rsidRPr="00FE7DF2" w:rsidRDefault="00680633" w:rsidP="006907A9">
      <w:pPr>
        <w:autoSpaceDE w:val="0"/>
        <w:autoSpaceDN w:val="0"/>
        <w:adjustRightInd w:val="0"/>
        <w:spacing w:after="0" w:line="240" w:lineRule="auto"/>
        <w:rPr>
          <w:rFonts w:ascii="Arial" w:hAnsi="Arial" w:cs="Arial"/>
        </w:rPr>
      </w:pPr>
    </w:p>
    <w:p w14:paraId="304A11DA" w14:textId="77777777" w:rsidR="00C54D11" w:rsidRDefault="00183528" w:rsidP="00183528">
      <w:pPr>
        <w:autoSpaceDE w:val="0"/>
        <w:autoSpaceDN w:val="0"/>
        <w:adjustRightInd w:val="0"/>
        <w:spacing w:after="0" w:line="240" w:lineRule="auto"/>
        <w:ind w:right="180"/>
        <w:rPr>
          <w:rFonts w:ascii="Arial" w:hAnsi="Arial" w:cs="Arial"/>
        </w:rPr>
      </w:pPr>
      <w:r w:rsidRPr="00FE7DF2">
        <w:rPr>
          <w:rFonts w:ascii="Arial" w:hAnsi="Arial" w:cs="Arial"/>
        </w:rPr>
        <w:t>EBIT-adjusted was $</w:t>
      </w:r>
      <w:r w:rsidR="00DC41BF" w:rsidRPr="00FE7DF2">
        <w:rPr>
          <w:rFonts w:ascii="Arial" w:hAnsi="Arial" w:cs="Arial"/>
        </w:rPr>
        <w:t>1.2</w:t>
      </w:r>
      <w:r w:rsidRPr="00FE7DF2">
        <w:rPr>
          <w:rFonts w:ascii="Arial" w:hAnsi="Arial" w:cs="Arial"/>
        </w:rPr>
        <w:t xml:space="preserve"> billion in the fourth quarter of </w:t>
      </w:r>
      <w:r w:rsidR="007A649F" w:rsidRPr="00FE7DF2">
        <w:rPr>
          <w:rFonts w:ascii="Arial" w:hAnsi="Arial" w:cs="Arial"/>
        </w:rPr>
        <w:t>2012</w:t>
      </w:r>
      <w:r w:rsidR="00C54D11">
        <w:rPr>
          <w:rFonts w:ascii="Arial" w:hAnsi="Arial" w:cs="Arial"/>
        </w:rPr>
        <w:t xml:space="preserve">, </w:t>
      </w:r>
      <w:r w:rsidRPr="00FE7DF2">
        <w:rPr>
          <w:rFonts w:ascii="Arial" w:hAnsi="Arial" w:cs="Arial"/>
        </w:rPr>
        <w:t>compared with $1.</w:t>
      </w:r>
      <w:r w:rsidR="001F1D4F" w:rsidRPr="00FE7DF2">
        <w:rPr>
          <w:rFonts w:ascii="Arial" w:hAnsi="Arial" w:cs="Arial"/>
        </w:rPr>
        <w:t>1</w:t>
      </w:r>
      <w:r w:rsidRPr="00FE7DF2">
        <w:rPr>
          <w:rFonts w:ascii="Arial" w:hAnsi="Arial" w:cs="Arial"/>
        </w:rPr>
        <w:t xml:space="preserve"> billion in the fourth quarter of </w:t>
      </w:r>
      <w:r w:rsidR="007A649F" w:rsidRPr="00FE7DF2">
        <w:rPr>
          <w:rFonts w:ascii="Arial" w:hAnsi="Arial" w:cs="Arial"/>
        </w:rPr>
        <w:t>2011</w:t>
      </w:r>
      <w:r w:rsidRPr="00FE7DF2">
        <w:rPr>
          <w:rFonts w:ascii="Arial" w:hAnsi="Arial" w:cs="Arial"/>
        </w:rPr>
        <w:t xml:space="preserve">. </w:t>
      </w:r>
      <w:r w:rsidR="008E07F8">
        <w:rPr>
          <w:rFonts w:ascii="Arial" w:hAnsi="Arial" w:cs="Arial"/>
        </w:rPr>
        <w:t>Fourth quarter EBIT-adjusted for 2012 includes the impact of restructuring charges of $</w:t>
      </w:r>
      <w:r w:rsidR="006930D1">
        <w:rPr>
          <w:rFonts w:ascii="Arial" w:hAnsi="Arial" w:cs="Arial"/>
        </w:rPr>
        <w:t>(</w:t>
      </w:r>
      <w:r w:rsidR="008E07F8">
        <w:rPr>
          <w:rFonts w:ascii="Arial" w:hAnsi="Arial" w:cs="Arial"/>
        </w:rPr>
        <w:t>0.2</w:t>
      </w:r>
      <w:r w:rsidR="006930D1">
        <w:rPr>
          <w:rFonts w:ascii="Arial" w:hAnsi="Arial" w:cs="Arial"/>
        </w:rPr>
        <w:t>)</w:t>
      </w:r>
      <w:r w:rsidR="008E07F8">
        <w:rPr>
          <w:rFonts w:ascii="Arial" w:hAnsi="Arial" w:cs="Arial"/>
        </w:rPr>
        <w:t xml:space="preserve"> billion.</w:t>
      </w:r>
    </w:p>
    <w:p w14:paraId="249BA91F" w14:textId="77777777" w:rsidR="00183528" w:rsidRPr="00FE7DF2" w:rsidRDefault="00183528" w:rsidP="00183528">
      <w:pPr>
        <w:autoSpaceDE w:val="0"/>
        <w:autoSpaceDN w:val="0"/>
        <w:adjustRightInd w:val="0"/>
        <w:spacing w:after="0" w:line="240" w:lineRule="auto"/>
        <w:rPr>
          <w:rFonts w:ascii="Arial" w:hAnsi="Arial" w:cs="Arial"/>
          <w:b/>
        </w:rPr>
      </w:pPr>
    </w:p>
    <w:p w14:paraId="02B3CFD6" w14:textId="413B9593" w:rsidR="00DC41BF" w:rsidRDefault="00C51847" w:rsidP="00DC41BF">
      <w:pPr>
        <w:autoSpaceDE w:val="0"/>
        <w:autoSpaceDN w:val="0"/>
        <w:adjustRightInd w:val="0"/>
        <w:spacing w:after="0" w:line="240" w:lineRule="auto"/>
        <w:ind w:right="180"/>
        <w:rPr>
          <w:rFonts w:ascii="Arial" w:hAnsi="Arial" w:cs="Arial"/>
        </w:rPr>
      </w:pPr>
      <w:r w:rsidRPr="004F7246">
        <w:rPr>
          <w:rFonts w:ascii="Arial" w:hAnsi="Arial" w:cs="Arial"/>
        </w:rPr>
        <w:t xml:space="preserve">GM’s fourth quarter </w:t>
      </w:r>
      <w:r w:rsidR="007A649F" w:rsidRPr="004F7246">
        <w:rPr>
          <w:rFonts w:ascii="Arial" w:hAnsi="Arial" w:cs="Arial"/>
        </w:rPr>
        <w:t>2012</w:t>
      </w:r>
      <w:r w:rsidRPr="004F7246">
        <w:rPr>
          <w:rFonts w:ascii="Arial" w:hAnsi="Arial" w:cs="Arial"/>
        </w:rPr>
        <w:t xml:space="preserve"> </w:t>
      </w:r>
      <w:r w:rsidR="009203EB" w:rsidRPr="004F7246">
        <w:rPr>
          <w:rFonts w:ascii="Arial" w:hAnsi="Arial" w:cs="Arial"/>
        </w:rPr>
        <w:t>special items</w:t>
      </w:r>
      <w:r w:rsidR="00846E32" w:rsidRPr="004F7246">
        <w:rPr>
          <w:rFonts w:ascii="Arial" w:hAnsi="Arial" w:cs="Arial"/>
        </w:rPr>
        <w:t xml:space="preserve"> </w:t>
      </w:r>
      <w:r w:rsidR="00CE3834">
        <w:rPr>
          <w:rFonts w:ascii="Arial" w:hAnsi="Arial" w:cs="Arial"/>
        </w:rPr>
        <w:t xml:space="preserve">impact to net income </w:t>
      </w:r>
      <w:r w:rsidR="00846E32" w:rsidRPr="004F7246">
        <w:rPr>
          <w:rFonts w:ascii="Arial" w:hAnsi="Arial" w:cs="Arial"/>
        </w:rPr>
        <w:t xml:space="preserve">of $0.1 billion </w:t>
      </w:r>
      <w:r w:rsidR="00BD3381">
        <w:rPr>
          <w:rFonts w:ascii="Arial" w:hAnsi="Arial" w:cs="Arial"/>
        </w:rPr>
        <w:t xml:space="preserve">includes </w:t>
      </w:r>
      <w:r w:rsidR="00146B00" w:rsidRPr="004F7246">
        <w:rPr>
          <w:rFonts w:ascii="Arial" w:hAnsi="Arial" w:cs="Arial"/>
        </w:rPr>
        <w:t xml:space="preserve">a </w:t>
      </w:r>
      <w:r w:rsidR="002870EE" w:rsidRPr="004F7246">
        <w:rPr>
          <w:rFonts w:ascii="Arial" w:hAnsi="Arial" w:cs="Arial"/>
        </w:rPr>
        <w:t>$</w:t>
      </w:r>
      <w:r w:rsidR="00D3399A">
        <w:rPr>
          <w:rFonts w:ascii="Arial" w:hAnsi="Arial" w:cs="Arial"/>
        </w:rPr>
        <w:t>34.9</w:t>
      </w:r>
      <w:r w:rsidR="002870EE" w:rsidRPr="004F7246">
        <w:rPr>
          <w:rFonts w:ascii="Arial" w:hAnsi="Arial" w:cs="Arial"/>
        </w:rPr>
        <w:t xml:space="preserve"> billion </w:t>
      </w:r>
      <w:r w:rsidR="001053E5">
        <w:rPr>
          <w:rFonts w:ascii="Arial" w:hAnsi="Arial" w:cs="Arial"/>
        </w:rPr>
        <w:t xml:space="preserve">non-cash </w:t>
      </w:r>
      <w:r w:rsidR="00CE3834">
        <w:rPr>
          <w:rFonts w:ascii="Arial" w:hAnsi="Arial" w:cs="Arial"/>
        </w:rPr>
        <w:t>benefit</w:t>
      </w:r>
      <w:r w:rsidR="00146B00" w:rsidRPr="004F7246">
        <w:rPr>
          <w:rFonts w:ascii="Arial" w:hAnsi="Arial" w:cs="Arial"/>
        </w:rPr>
        <w:t xml:space="preserve"> from the </w:t>
      </w:r>
      <w:r w:rsidR="00CA6A59" w:rsidRPr="004F7246">
        <w:rPr>
          <w:rFonts w:ascii="Arial" w:hAnsi="Arial" w:cs="Arial"/>
        </w:rPr>
        <w:t>release</w:t>
      </w:r>
      <w:r w:rsidR="00A96F18" w:rsidRPr="004F7246">
        <w:rPr>
          <w:rFonts w:ascii="Arial" w:hAnsi="Arial" w:cs="Arial"/>
        </w:rPr>
        <w:t xml:space="preserve"> of the majority of </w:t>
      </w:r>
      <w:r w:rsidR="00DC41BF" w:rsidRPr="004F7246">
        <w:rPr>
          <w:rFonts w:ascii="Arial" w:hAnsi="Arial" w:cs="Arial"/>
        </w:rPr>
        <w:t>the company’s</w:t>
      </w:r>
      <w:r w:rsidR="00A96F18" w:rsidRPr="004F7246">
        <w:rPr>
          <w:rFonts w:ascii="Arial" w:hAnsi="Arial" w:cs="Arial"/>
        </w:rPr>
        <w:t xml:space="preserve"> valuation allowances on U.S. and Canada def</w:t>
      </w:r>
      <w:r w:rsidR="00DC41BF" w:rsidRPr="004F7246">
        <w:rPr>
          <w:rFonts w:ascii="Arial" w:hAnsi="Arial" w:cs="Arial"/>
        </w:rPr>
        <w:t>erred tax assets</w:t>
      </w:r>
      <w:r w:rsidR="00406C21">
        <w:rPr>
          <w:rFonts w:ascii="Arial" w:hAnsi="Arial" w:cs="Arial"/>
        </w:rPr>
        <w:t xml:space="preserve"> and an associated</w:t>
      </w:r>
      <w:r w:rsidR="00A96F18" w:rsidRPr="004F7246">
        <w:rPr>
          <w:rFonts w:ascii="Arial" w:hAnsi="Arial" w:cs="Arial"/>
        </w:rPr>
        <w:t xml:space="preserve"> $</w:t>
      </w:r>
      <w:r w:rsidR="004F7246" w:rsidRPr="004F7246">
        <w:rPr>
          <w:rFonts w:ascii="Arial" w:hAnsi="Arial" w:cs="Arial"/>
        </w:rPr>
        <w:t>(</w:t>
      </w:r>
      <w:r w:rsidR="007260E5" w:rsidRPr="004F7246">
        <w:rPr>
          <w:rFonts w:ascii="Arial" w:hAnsi="Arial" w:cs="Arial"/>
        </w:rPr>
        <w:t>26.</w:t>
      </w:r>
      <w:r w:rsidR="00C122D0" w:rsidRPr="004F7246">
        <w:rPr>
          <w:rFonts w:ascii="Arial" w:hAnsi="Arial" w:cs="Arial"/>
        </w:rPr>
        <w:t>2</w:t>
      </w:r>
      <w:r w:rsidR="004F7246" w:rsidRPr="004F7246">
        <w:rPr>
          <w:rFonts w:ascii="Arial" w:hAnsi="Arial" w:cs="Arial"/>
        </w:rPr>
        <w:t xml:space="preserve">) </w:t>
      </w:r>
      <w:r w:rsidR="00A96F18" w:rsidRPr="004F7246">
        <w:rPr>
          <w:rFonts w:ascii="Arial" w:hAnsi="Arial" w:cs="Arial"/>
        </w:rPr>
        <w:t xml:space="preserve">billion </w:t>
      </w:r>
      <w:r w:rsidR="001053E5">
        <w:rPr>
          <w:rFonts w:ascii="Arial" w:hAnsi="Arial" w:cs="Arial"/>
        </w:rPr>
        <w:t xml:space="preserve">non-cash </w:t>
      </w:r>
      <w:r w:rsidR="00A96F18" w:rsidRPr="004F7246">
        <w:rPr>
          <w:rFonts w:ascii="Arial" w:hAnsi="Arial" w:cs="Arial"/>
        </w:rPr>
        <w:t>goodwill impairment charge</w:t>
      </w:r>
      <w:r w:rsidR="002870EE" w:rsidRPr="004F7246">
        <w:rPr>
          <w:rFonts w:ascii="Arial" w:hAnsi="Arial" w:cs="Arial"/>
        </w:rPr>
        <w:t xml:space="preserve">; </w:t>
      </w:r>
      <w:r w:rsidR="00E838D5" w:rsidRPr="004F7246">
        <w:rPr>
          <w:rFonts w:ascii="Arial" w:hAnsi="Arial" w:cs="Arial"/>
        </w:rPr>
        <w:t>a</w:t>
      </w:r>
      <w:r w:rsidR="00594B68" w:rsidRPr="004F7246">
        <w:rPr>
          <w:rFonts w:ascii="Arial" w:hAnsi="Arial" w:cs="Arial"/>
        </w:rPr>
        <w:t xml:space="preserve"> $</w:t>
      </w:r>
      <w:r w:rsidR="004F7246" w:rsidRPr="004F7246">
        <w:rPr>
          <w:rFonts w:ascii="Arial" w:hAnsi="Arial" w:cs="Arial"/>
        </w:rPr>
        <w:t>(</w:t>
      </w:r>
      <w:r w:rsidR="00594B68" w:rsidRPr="004F7246">
        <w:rPr>
          <w:rFonts w:ascii="Arial" w:hAnsi="Arial" w:cs="Arial"/>
        </w:rPr>
        <w:t>5.</w:t>
      </w:r>
      <w:r w:rsidR="00E838D5" w:rsidRPr="004F7246">
        <w:rPr>
          <w:rFonts w:ascii="Arial" w:hAnsi="Arial" w:cs="Arial"/>
        </w:rPr>
        <w:t>2</w:t>
      </w:r>
      <w:r w:rsidR="004F7246" w:rsidRPr="004F7246">
        <w:rPr>
          <w:rFonts w:ascii="Arial" w:hAnsi="Arial" w:cs="Arial"/>
        </w:rPr>
        <w:t>)</w:t>
      </w:r>
      <w:r w:rsidR="00594B68" w:rsidRPr="004F7246">
        <w:rPr>
          <w:rFonts w:ascii="Arial" w:hAnsi="Arial" w:cs="Arial"/>
        </w:rPr>
        <w:t xml:space="preserve"> billion</w:t>
      </w:r>
      <w:r w:rsidR="00DF18A1" w:rsidRPr="004F7246">
        <w:rPr>
          <w:rFonts w:ascii="Arial" w:hAnsi="Arial" w:cs="Arial"/>
        </w:rPr>
        <w:t xml:space="preserve"> </w:t>
      </w:r>
      <w:r w:rsidR="001053E5">
        <w:rPr>
          <w:rFonts w:ascii="Arial" w:hAnsi="Arial" w:cs="Arial"/>
        </w:rPr>
        <w:t xml:space="preserve">non-cash </w:t>
      </w:r>
      <w:r w:rsidR="00DF18A1" w:rsidRPr="004F7246">
        <w:rPr>
          <w:rFonts w:ascii="Arial" w:hAnsi="Arial" w:cs="Arial"/>
        </w:rPr>
        <w:t>impairment</w:t>
      </w:r>
      <w:r w:rsidR="0084732C" w:rsidRPr="004F7246">
        <w:rPr>
          <w:rFonts w:ascii="Arial" w:hAnsi="Arial" w:cs="Arial"/>
        </w:rPr>
        <w:t xml:space="preserve"> of GM Europe long-lived assets; and</w:t>
      </w:r>
      <w:r w:rsidR="00E838D5" w:rsidRPr="004F7246">
        <w:rPr>
          <w:rFonts w:ascii="Arial" w:hAnsi="Arial" w:cs="Arial"/>
        </w:rPr>
        <w:t xml:space="preserve"> a</w:t>
      </w:r>
      <w:r w:rsidR="00594B68" w:rsidRPr="004F7246">
        <w:rPr>
          <w:rFonts w:ascii="Arial" w:hAnsi="Arial" w:cs="Arial"/>
        </w:rPr>
        <w:t xml:space="preserve"> $</w:t>
      </w:r>
      <w:r w:rsidR="004F7246" w:rsidRPr="004F7246">
        <w:rPr>
          <w:rFonts w:ascii="Arial" w:hAnsi="Arial" w:cs="Arial"/>
        </w:rPr>
        <w:t>(</w:t>
      </w:r>
      <w:r w:rsidR="00594B68" w:rsidRPr="004F7246">
        <w:rPr>
          <w:rFonts w:ascii="Arial" w:hAnsi="Arial" w:cs="Arial"/>
        </w:rPr>
        <w:t>2.2</w:t>
      </w:r>
      <w:r w:rsidR="004F7246" w:rsidRPr="004F7246">
        <w:rPr>
          <w:rFonts w:ascii="Arial" w:hAnsi="Arial" w:cs="Arial"/>
        </w:rPr>
        <w:t>)</w:t>
      </w:r>
      <w:r w:rsidR="00594B68" w:rsidRPr="004F7246">
        <w:rPr>
          <w:rFonts w:ascii="Arial" w:hAnsi="Arial" w:cs="Arial"/>
        </w:rPr>
        <w:t xml:space="preserve"> billion charge </w:t>
      </w:r>
      <w:r w:rsidR="002870EE" w:rsidRPr="004F7246">
        <w:rPr>
          <w:rFonts w:ascii="Arial" w:hAnsi="Arial" w:cs="Arial"/>
        </w:rPr>
        <w:t xml:space="preserve">related to </w:t>
      </w:r>
      <w:r w:rsidR="00594B68" w:rsidRPr="004F7246">
        <w:rPr>
          <w:rFonts w:ascii="Arial" w:hAnsi="Arial" w:cs="Arial"/>
        </w:rPr>
        <w:t>U.S. salaried pension plan action</w:t>
      </w:r>
      <w:r w:rsidR="00406C21">
        <w:rPr>
          <w:rFonts w:ascii="Arial" w:hAnsi="Arial" w:cs="Arial"/>
        </w:rPr>
        <w:t>s</w:t>
      </w:r>
      <w:r w:rsidR="00594B68" w:rsidRPr="004F7246">
        <w:rPr>
          <w:rFonts w:ascii="Arial" w:hAnsi="Arial" w:cs="Arial"/>
        </w:rPr>
        <w:t xml:space="preserve"> announced earlier this year</w:t>
      </w:r>
      <w:r w:rsidR="004F7246" w:rsidRPr="004F7246">
        <w:rPr>
          <w:rFonts w:ascii="Arial" w:hAnsi="Arial" w:cs="Arial"/>
        </w:rPr>
        <w:t>, among other smaller items</w:t>
      </w:r>
      <w:r w:rsidR="00594B68" w:rsidRPr="004F7246">
        <w:rPr>
          <w:rFonts w:ascii="Arial" w:hAnsi="Arial" w:cs="Arial"/>
        </w:rPr>
        <w:t xml:space="preserve">. </w:t>
      </w:r>
    </w:p>
    <w:p w14:paraId="14DA39F6" w14:textId="77777777" w:rsidR="005D5B0E" w:rsidRDefault="005D5B0E" w:rsidP="00DC41BF">
      <w:pPr>
        <w:autoSpaceDE w:val="0"/>
        <w:autoSpaceDN w:val="0"/>
        <w:adjustRightInd w:val="0"/>
        <w:spacing w:after="0" w:line="240" w:lineRule="auto"/>
        <w:ind w:right="180"/>
        <w:rPr>
          <w:rFonts w:ascii="Arial" w:hAnsi="Arial" w:cs="Arial"/>
        </w:rPr>
      </w:pPr>
    </w:p>
    <w:p w14:paraId="12EE3CDB" w14:textId="25E60D55" w:rsidR="005D5B0E" w:rsidRPr="004F7246" w:rsidRDefault="005D5B0E" w:rsidP="00DC41BF">
      <w:pPr>
        <w:autoSpaceDE w:val="0"/>
        <w:autoSpaceDN w:val="0"/>
        <w:adjustRightInd w:val="0"/>
        <w:spacing w:after="0" w:line="240" w:lineRule="auto"/>
        <w:ind w:right="180"/>
        <w:rPr>
          <w:rFonts w:ascii="Arial" w:hAnsi="Arial" w:cs="Arial"/>
        </w:rPr>
      </w:pPr>
      <w:r>
        <w:rPr>
          <w:rFonts w:ascii="Arial" w:hAnsi="Arial" w:cs="Arial"/>
        </w:rPr>
        <w:t xml:space="preserve">The </w:t>
      </w:r>
      <w:r w:rsidR="001053E5">
        <w:rPr>
          <w:rFonts w:ascii="Arial" w:hAnsi="Arial" w:cs="Arial"/>
        </w:rPr>
        <w:t xml:space="preserve">non-cash </w:t>
      </w:r>
      <w:r>
        <w:rPr>
          <w:rFonts w:ascii="Arial" w:hAnsi="Arial" w:cs="Arial"/>
        </w:rPr>
        <w:t xml:space="preserve">impairment of GM Europe long-lived assets does not </w:t>
      </w:r>
      <w:r w:rsidR="00845694">
        <w:rPr>
          <w:rFonts w:ascii="Arial" w:hAnsi="Arial" w:cs="Arial"/>
        </w:rPr>
        <w:t xml:space="preserve">reflect any </w:t>
      </w:r>
      <w:r>
        <w:rPr>
          <w:rFonts w:ascii="Arial" w:hAnsi="Arial" w:cs="Arial"/>
        </w:rPr>
        <w:t xml:space="preserve">change </w:t>
      </w:r>
      <w:r w:rsidR="00845694">
        <w:rPr>
          <w:rFonts w:ascii="Arial" w:hAnsi="Arial" w:cs="Arial"/>
        </w:rPr>
        <w:t xml:space="preserve">to </w:t>
      </w:r>
      <w:r>
        <w:rPr>
          <w:rFonts w:ascii="Arial" w:hAnsi="Arial" w:cs="Arial"/>
        </w:rPr>
        <w:t xml:space="preserve">the company’s objective to break-even in its European operations by mid-decade. </w:t>
      </w:r>
    </w:p>
    <w:p w14:paraId="4738FE1A" w14:textId="77777777" w:rsidR="00CD000B" w:rsidRPr="00E66503" w:rsidRDefault="00CD000B" w:rsidP="00CD000B">
      <w:pPr>
        <w:autoSpaceDE w:val="0"/>
        <w:autoSpaceDN w:val="0"/>
        <w:adjustRightInd w:val="0"/>
        <w:spacing w:after="0" w:line="240" w:lineRule="auto"/>
        <w:ind w:right="180"/>
        <w:rPr>
          <w:rFonts w:ascii="Arial" w:hAnsi="Arial" w:cs="Arial"/>
          <w:color w:val="FF0000"/>
        </w:rPr>
      </w:pPr>
    </w:p>
    <w:p w14:paraId="7078F3DD" w14:textId="77777777" w:rsidR="00C51847" w:rsidRPr="004F7246" w:rsidRDefault="00E66503" w:rsidP="00BE5F83">
      <w:pPr>
        <w:pStyle w:val="NoSpacing"/>
        <w:rPr>
          <w:rFonts w:ascii="Arial" w:hAnsi="Arial" w:cs="Arial"/>
          <w:b/>
        </w:rPr>
      </w:pPr>
      <w:r w:rsidRPr="004F7246">
        <w:rPr>
          <w:rFonts w:ascii="Arial" w:hAnsi="Arial" w:cs="Arial"/>
          <w:b/>
        </w:rPr>
        <w:t>Segment</w:t>
      </w:r>
      <w:r w:rsidR="00C51847" w:rsidRPr="004F7246">
        <w:rPr>
          <w:rFonts w:ascii="Arial" w:hAnsi="Arial" w:cs="Arial"/>
          <w:b/>
        </w:rPr>
        <w:t xml:space="preserve"> Results</w:t>
      </w:r>
    </w:p>
    <w:p w14:paraId="6B305839" w14:textId="77777777" w:rsidR="008A5B79" w:rsidRPr="004F7246" w:rsidRDefault="00C51847" w:rsidP="008A5B79">
      <w:pPr>
        <w:pStyle w:val="ListParagraph"/>
        <w:numPr>
          <w:ilvl w:val="0"/>
          <w:numId w:val="14"/>
        </w:numPr>
        <w:rPr>
          <w:rFonts w:ascii="Arial" w:hAnsi="Arial" w:cs="Arial"/>
        </w:rPr>
      </w:pPr>
      <w:r w:rsidRPr="004F7246">
        <w:rPr>
          <w:rFonts w:ascii="Arial" w:hAnsi="Arial" w:cs="Arial"/>
        </w:rPr>
        <w:t>GM North America (GM</w:t>
      </w:r>
      <w:r w:rsidR="00A71B76" w:rsidRPr="004F7246">
        <w:rPr>
          <w:rFonts w:ascii="Arial" w:hAnsi="Arial" w:cs="Arial"/>
        </w:rPr>
        <w:t>NA) reported EBIT-adjusted of $</w:t>
      </w:r>
      <w:r w:rsidR="00141C57" w:rsidRPr="004F7246">
        <w:rPr>
          <w:rFonts w:ascii="Arial" w:hAnsi="Arial" w:cs="Arial"/>
        </w:rPr>
        <w:t>1.4</w:t>
      </w:r>
      <w:r w:rsidRPr="004F7246">
        <w:rPr>
          <w:rFonts w:ascii="Arial" w:hAnsi="Arial" w:cs="Arial"/>
        </w:rPr>
        <w:t xml:space="preserve"> billion in the fourth quarter of </w:t>
      </w:r>
      <w:r w:rsidR="007A649F" w:rsidRPr="004F7246">
        <w:rPr>
          <w:rFonts w:ascii="Arial" w:hAnsi="Arial" w:cs="Arial"/>
        </w:rPr>
        <w:t>2012</w:t>
      </w:r>
      <w:r w:rsidRPr="004F7246">
        <w:rPr>
          <w:rFonts w:ascii="Arial" w:hAnsi="Arial" w:cs="Arial"/>
        </w:rPr>
        <w:t xml:space="preserve"> compa</w:t>
      </w:r>
      <w:r w:rsidR="00B06334" w:rsidRPr="004F7246">
        <w:rPr>
          <w:rFonts w:ascii="Arial" w:hAnsi="Arial" w:cs="Arial"/>
        </w:rPr>
        <w:t>red with $</w:t>
      </w:r>
      <w:r w:rsidR="003C7E0A" w:rsidRPr="004F7246">
        <w:rPr>
          <w:rFonts w:ascii="Arial" w:hAnsi="Arial" w:cs="Arial"/>
        </w:rPr>
        <w:t>1.5</w:t>
      </w:r>
      <w:r w:rsidR="00B06334" w:rsidRPr="004F7246">
        <w:rPr>
          <w:rFonts w:ascii="Arial" w:hAnsi="Arial" w:cs="Arial"/>
        </w:rPr>
        <w:t xml:space="preserve"> billion in </w:t>
      </w:r>
      <w:r w:rsidR="007A649F" w:rsidRPr="004F7246">
        <w:rPr>
          <w:rFonts w:ascii="Arial" w:hAnsi="Arial" w:cs="Arial"/>
        </w:rPr>
        <w:t>2011</w:t>
      </w:r>
      <w:r w:rsidR="00B06334" w:rsidRPr="004F7246">
        <w:rPr>
          <w:rFonts w:ascii="Arial" w:hAnsi="Arial" w:cs="Arial"/>
        </w:rPr>
        <w:t xml:space="preserve">.  </w:t>
      </w:r>
      <w:r w:rsidRPr="004F7246">
        <w:rPr>
          <w:rFonts w:ascii="Arial" w:hAnsi="Arial" w:cs="Arial"/>
        </w:rPr>
        <w:t>Full-year EBIT-adjusted was $</w:t>
      </w:r>
      <w:r w:rsidR="00A71B76" w:rsidRPr="004F7246">
        <w:rPr>
          <w:rFonts w:ascii="Arial" w:hAnsi="Arial" w:cs="Arial"/>
        </w:rPr>
        <w:t>7.0</w:t>
      </w:r>
      <w:r w:rsidRPr="004F7246">
        <w:rPr>
          <w:rFonts w:ascii="Arial" w:hAnsi="Arial" w:cs="Arial"/>
        </w:rPr>
        <w:t xml:space="preserve"> billion in </w:t>
      </w:r>
      <w:r w:rsidR="007A649F" w:rsidRPr="004F7246">
        <w:rPr>
          <w:rFonts w:ascii="Arial" w:hAnsi="Arial" w:cs="Arial"/>
        </w:rPr>
        <w:t>2012</w:t>
      </w:r>
      <w:r w:rsidRPr="004F7246">
        <w:rPr>
          <w:rFonts w:ascii="Arial" w:hAnsi="Arial" w:cs="Arial"/>
        </w:rPr>
        <w:t xml:space="preserve"> comp</w:t>
      </w:r>
      <w:r w:rsidR="00B06334" w:rsidRPr="004F7246">
        <w:rPr>
          <w:rFonts w:ascii="Arial" w:hAnsi="Arial" w:cs="Arial"/>
        </w:rPr>
        <w:t xml:space="preserve">ared </w:t>
      </w:r>
      <w:r w:rsidR="004F7246">
        <w:rPr>
          <w:rFonts w:ascii="Arial" w:hAnsi="Arial" w:cs="Arial"/>
        </w:rPr>
        <w:t>to</w:t>
      </w:r>
      <w:r w:rsidR="00B06334" w:rsidRPr="004F7246">
        <w:rPr>
          <w:rFonts w:ascii="Arial" w:hAnsi="Arial" w:cs="Arial"/>
        </w:rPr>
        <w:t xml:space="preserve"> $</w:t>
      </w:r>
      <w:r w:rsidR="003C7E0A" w:rsidRPr="004F7246">
        <w:rPr>
          <w:rFonts w:ascii="Arial" w:hAnsi="Arial" w:cs="Arial"/>
        </w:rPr>
        <w:t>7.2</w:t>
      </w:r>
      <w:r w:rsidR="00B06334" w:rsidRPr="004F7246">
        <w:rPr>
          <w:rFonts w:ascii="Arial" w:hAnsi="Arial" w:cs="Arial"/>
        </w:rPr>
        <w:t xml:space="preserve"> billion in </w:t>
      </w:r>
      <w:r w:rsidR="007A649F" w:rsidRPr="004F7246">
        <w:rPr>
          <w:rFonts w:ascii="Arial" w:hAnsi="Arial" w:cs="Arial"/>
        </w:rPr>
        <w:t>2011</w:t>
      </w:r>
      <w:r w:rsidR="00607B70" w:rsidRPr="004F7246">
        <w:rPr>
          <w:rFonts w:ascii="Arial" w:hAnsi="Arial" w:cs="Arial"/>
        </w:rPr>
        <w:t xml:space="preserve">. </w:t>
      </w:r>
      <w:r w:rsidR="008A5B79" w:rsidRPr="004F7246">
        <w:rPr>
          <w:rFonts w:ascii="Arial" w:hAnsi="Arial" w:cs="Arial"/>
        </w:rPr>
        <w:t xml:space="preserve">Based on GMNA’s </w:t>
      </w:r>
      <w:r w:rsidR="007A649F" w:rsidRPr="004F7246">
        <w:rPr>
          <w:rFonts w:ascii="Arial" w:hAnsi="Arial" w:cs="Arial"/>
        </w:rPr>
        <w:t>2012</w:t>
      </w:r>
      <w:r w:rsidR="008A5B79" w:rsidRPr="004F7246">
        <w:rPr>
          <w:rFonts w:ascii="Arial" w:hAnsi="Arial" w:cs="Arial"/>
        </w:rPr>
        <w:t xml:space="preserve"> financial performance, </w:t>
      </w:r>
      <w:r w:rsidR="00B06334" w:rsidRPr="004F7246">
        <w:rPr>
          <w:rFonts w:ascii="Arial" w:hAnsi="Arial" w:cs="Arial"/>
        </w:rPr>
        <w:t xml:space="preserve">the company will pay profit sharing </w:t>
      </w:r>
      <w:r w:rsidR="000D59C3" w:rsidRPr="004F7246">
        <w:rPr>
          <w:rFonts w:ascii="Arial" w:hAnsi="Arial" w:cs="Arial"/>
        </w:rPr>
        <w:t>of up to $</w:t>
      </w:r>
      <w:r w:rsidR="0073436D" w:rsidRPr="004F7246">
        <w:rPr>
          <w:rFonts w:ascii="Arial" w:hAnsi="Arial" w:cs="Arial"/>
        </w:rPr>
        <w:t>6,750</w:t>
      </w:r>
      <w:r w:rsidR="000D59C3" w:rsidRPr="004F7246">
        <w:rPr>
          <w:rFonts w:ascii="Arial" w:hAnsi="Arial" w:cs="Arial"/>
        </w:rPr>
        <w:t xml:space="preserve"> </w:t>
      </w:r>
      <w:r w:rsidR="00B06334" w:rsidRPr="004F7246">
        <w:rPr>
          <w:rFonts w:ascii="Arial" w:hAnsi="Arial" w:cs="Arial"/>
        </w:rPr>
        <w:t xml:space="preserve">to approximately </w:t>
      </w:r>
      <w:r w:rsidR="00D30B21" w:rsidRPr="004F7246">
        <w:rPr>
          <w:rFonts w:ascii="Arial" w:hAnsi="Arial" w:cs="Arial"/>
        </w:rPr>
        <w:t>49,000</w:t>
      </w:r>
      <w:r w:rsidR="0073436D" w:rsidRPr="004F7246">
        <w:rPr>
          <w:rFonts w:ascii="Arial" w:hAnsi="Arial" w:cs="Arial"/>
        </w:rPr>
        <w:t xml:space="preserve"> </w:t>
      </w:r>
      <w:r w:rsidR="00B06334" w:rsidRPr="004F7246">
        <w:rPr>
          <w:rFonts w:ascii="Arial" w:hAnsi="Arial" w:cs="Arial"/>
        </w:rPr>
        <w:t xml:space="preserve">eligible GM U.S. hourly employees.  </w:t>
      </w:r>
    </w:p>
    <w:p w14:paraId="38B57520" w14:textId="77777777" w:rsidR="00C51847" w:rsidRPr="004F7246" w:rsidRDefault="00C51847" w:rsidP="008A1919">
      <w:pPr>
        <w:pStyle w:val="ListParagraph"/>
        <w:numPr>
          <w:ilvl w:val="0"/>
          <w:numId w:val="14"/>
        </w:numPr>
        <w:ind w:right="-360"/>
        <w:rPr>
          <w:rFonts w:ascii="Arial" w:hAnsi="Arial" w:cs="Arial"/>
        </w:rPr>
      </w:pPr>
      <w:r w:rsidRPr="004F7246">
        <w:rPr>
          <w:rFonts w:ascii="Arial" w:hAnsi="Arial" w:cs="Arial"/>
        </w:rPr>
        <w:t>GM Europe (GME) reported EBIT-adjusted of $</w:t>
      </w:r>
      <w:r w:rsidR="004F7246" w:rsidRPr="004F7246">
        <w:rPr>
          <w:rFonts w:ascii="Arial" w:hAnsi="Arial" w:cs="Arial"/>
        </w:rPr>
        <w:t>(</w:t>
      </w:r>
      <w:r w:rsidR="00141C57" w:rsidRPr="004F7246">
        <w:rPr>
          <w:rFonts w:ascii="Arial" w:hAnsi="Arial" w:cs="Arial"/>
        </w:rPr>
        <w:t>0.7</w:t>
      </w:r>
      <w:r w:rsidR="004F7246" w:rsidRPr="004F7246">
        <w:rPr>
          <w:rFonts w:ascii="Arial" w:hAnsi="Arial" w:cs="Arial"/>
        </w:rPr>
        <w:t>)</w:t>
      </w:r>
      <w:r w:rsidR="00FE7DF2" w:rsidRPr="004F7246">
        <w:rPr>
          <w:rFonts w:ascii="Arial" w:hAnsi="Arial" w:cs="Arial"/>
        </w:rPr>
        <w:t xml:space="preserve"> </w:t>
      </w:r>
      <w:r w:rsidRPr="004F7246">
        <w:rPr>
          <w:rFonts w:ascii="Arial" w:hAnsi="Arial" w:cs="Arial"/>
        </w:rPr>
        <w:t xml:space="preserve">billion in the fourth quarter of </w:t>
      </w:r>
      <w:r w:rsidR="007A649F" w:rsidRPr="004F7246">
        <w:rPr>
          <w:rFonts w:ascii="Arial" w:hAnsi="Arial" w:cs="Arial"/>
        </w:rPr>
        <w:t>2012</w:t>
      </w:r>
      <w:r w:rsidRPr="004F7246">
        <w:rPr>
          <w:rFonts w:ascii="Arial" w:hAnsi="Arial" w:cs="Arial"/>
        </w:rPr>
        <w:t xml:space="preserve">, </w:t>
      </w:r>
      <w:r w:rsidR="003C7E0A" w:rsidRPr="004F7246">
        <w:rPr>
          <w:rFonts w:ascii="Arial" w:hAnsi="Arial" w:cs="Arial"/>
        </w:rPr>
        <w:t>compared to $</w:t>
      </w:r>
      <w:r w:rsidR="004F7246" w:rsidRPr="004F7246">
        <w:rPr>
          <w:rFonts w:ascii="Arial" w:hAnsi="Arial" w:cs="Arial"/>
        </w:rPr>
        <w:t>(</w:t>
      </w:r>
      <w:r w:rsidR="003C7E0A" w:rsidRPr="004F7246">
        <w:rPr>
          <w:rFonts w:ascii="Arial" w:hAnsi="Arial" w:cs="Arial"/>
        </w:rPr>
        <w:t>0</w:t>
      </w:r>
      <w:r w:rsidRPr="004F7246">
        <w:rPr>
          <w:rFonts w:ascii="Arial" w:hAnsi="Arial" w:cs="Arial"/>
        </w:rPr>
        <w:t>.</w:t>
      </w:r>
      <w:r w:rsidR="003C7E0A" w:rsidRPr="004F7246">
        <w:rPr>
          <w:rFonts w:ascii="Arial" w:hAnsi="Arial" w:cs="Arial"/>
        </w:rPr>
        <w:t>6</w:t>
      </w:r>
      <w:r w:rsidR="004F7246" w:rsidRPr="004F7246">
        <w:rPr>
          <w:rFonts w:ascii="Arial" w:hAnsi="Arial" w:cs="Arial"/>
        </w:rPr>
        <w:t>)</w:t>
      </w:r>
      <w:r w:rsidR="00141C57" w:rsidRPr="004F7246">
        <w:rPr>
          <w:rFonts w:ascii="Arial" w:hAnsi="Arial" w:cs="Arial"/>
        </w:rPr>
        <w:t xml:space="preserve"> </w:t>
      </w:r>
      <w:r w:rsidR="003C7E0A" w:rsidRPr="004F7246">
        <w:rPr>
          <w:rFonts w:ascii="Arial" w:hAnsi="Arial" w:cs="Arial"/>
        </w:rPr>
        <w:t xml:space="preserve">billion </w:t>
      </w:r>
      <w:r w:rsidR="004F7246" w:rsidRPr="004F7246">
        <w:rPr>
          <w:rFonts w:ascii="Arial" w:hAnsi="Arial" w:cs="Arial"/>
        </w:rPr>
        <w:t>in 2011</w:t>
      </w:r>
      <w:r w:rsidR="003C7E0A" w:rsidRPr="004F7246">
        <w:rPr>
          <w:rFonts w:ascii="Arial" w:hAnsi="Arial" w:cs="Arial"/>
        </w:rPr>
        <w:t>.</w:t>
      </w:r>
      <w:r w:rsidRPr="004F7246">
        <w:rPr>
          <w:rFonts w:ascii="Arial" w:hAnsi="Arial" w:cs="Arial"/>
        </w:rPr>
        <w:t xml:space="preserve">  Full-yea</w:t>
      </w:r>
      <w:r w:rsidR="003C7E0A" w:rsidRPr="004F7246">
        <w:rPr>
          <w:rFonts w:ascii="Arial" w:hAnsi="Arial" w:cs="Arial"/>
        </w:rPr>
        <w:t>r EBIT-adjusted was $</w:t>
      </w:r>
      <w:r w:rsidR="004F7246" w:rsidRPr="004F7246">
        <w:rPr>
          <w:rFonts w:ascii="Arial" w:hAnsi="Arial" w:cs="Arial"/>
        </w:rPr>
        <w:t>(</w:t>
      </w:r>
      <w:r w:rsidR="003C7E0A" w:rsidRPr="004F7246">
        <w:rPr>
          <w:rFonts w:ascii="Arial" w:hAnsi="Arial" w:cs="Arial"/>
        </w:rPr>
        <w:t>1.</w:t>
      </w:r>
      <w:r w:rsidR="00A71B76" w:rsidRPr="004F7246">
        <w:rPr>
          <w:rFonts w:ascii="Arial" w:hAnsi="Arial" w:cs="Arial"/>
        </w:rPr>
        <w:t>8</w:t>
      </w:r>
      <w:r w:rsidR="004F7246" w:rsidRPr="004F7246">
        <w:rPr>
          <w:rFonts w:ascii="Arial" w:hAnsi="Arial" w:cs="Arial"/>
        </w:rPr>
        <w:t>)</w:t>
      </w:r>
      <w:r w:rsidRPr="004F7246">
        <w:rPr>
          <w:rFonts w:ascii="Arial" w:hAnsi="Arial" w:cs="Arial"/>
        </w:rPr>
        <w:t xml:space="preserve"> billion in </w:t>
      </w:r>
      <w:r w:rsidR="007A649F" w:rsidRPr="004F7246">
        <w:rPr>
          <w:rFonts w:ascii="Arial" w:hAnsi="Arial" w:cs="Arial"/>
        </w:rPr>
        <w:t>2012</w:t>
      </w:r>
      <w:r w:rsidRPr="004F7246">
        <w:rPr>
          <w:rFonts w:ascii="Arial" w:hAnsi="Arial" w:cs="Arial"/>
        </w:rPr>
        <w:t xml:space="preserve">, </w:t>
      </w:r>
      <w:r w:rsidR="003C7E0A" w:rsidRPr="004F7246">
        <w:rPr>
          <w:rFonts w:ascii="Arial" w:hAnsi="Arial" w:cs="Arial"/>
        </w:rPr>
        <w:t xml:space="preserve">compared </w:t>
      </w:r>
      <w:r w:rsidR="004F7246" w:rsidRPr="004F7246">
        <w:rPr>
          <w:rFonts w:ascii="Arial" w:hAnsi="Arial" w:cs="Arial"/>
        </w:rPr>
        <w:t>with</w:t>
      </w:r>
      <w:r w:rsidR="003C7E0A" w:rsidRPr="004F7246">
        <w:rPr>
          <w:rFonts w:ascii="Arial" w:hAnsi="Arial" w:cs="Arial"/>
        </w:rPr>
        <w:t xml:space="preserve"> </w:t>
      </w:r>
      <w:r w:rsidRPr="004F7246">
        <w:rPr>
          <w:rFonts w:ascii="Arial" w:hAnsi="Arial" w:cs="Arial"/>
        </w:rPr>
        <w:t>$</w:t>
      </w:r>
      <w:r w:rsidR="004F7246" w:rsidRPr="004F7246">
        <w:rPr>
          <w:rFonts w:ascii="Arial" w:hAnsi="Arial" w:cs="Arial"/>
        </w:rPr>
        <w:t>(</w:t>
      </w:r>
      <w:r w:rsidR="00A71B76" w:rsidRPr="004F7246">
        <w:rPr>
          <w:rFonts w:ascii="Arial" w:hAnsi="Arial" w:cs="Arial"/>
        </w:rPr>
        <w:t>0.7</w:t>
      </w:r>
      <w:r w:rsidR="004F7246" w:rsidRPr="004F7246">
        <w:rPr>
          <w:rFonts w:ascii="Arial" w:hAnsi="Arial" w:cs="Arial"/>
        </w:rPr>
        <w:t>)</w:t>
      </w:r>
      <w:r w:rsidRPr="004F7246">
        <w:rPr>
          <w:rFonts w:ascii="Arial" w:hAnsi="Arial" w:cs="Arial"/>
        </w:rPr>
        <w:t xml:space="preserve"> billion </w:t>
      </w:r>
      <w:r w:rsidR="003C7E0A" w:rsidRPr="004F7246">
        <w:rPr>
          <w:rFonts w:ascii="Arial" w:hAnsi="Arial" w:cs="Arial"/>
        </w:rPr>
        <w:t>in</w:t>
      </w:r>
      <w:r w:rsidRPr="004F7246">
        <w:rPr>
          <w:rFonts w:ascii="Arial" w:hAnsi="Arial" w:cs="Arial"/>
        </w:rPr>
        <w:t xml:space="preserve"> </w:t>
      </w:r>
      <w:r w:rsidR="007A649F" w:rsidRPr="004F7246">
        <w:rPr>
          <w:rFonts w:ascii="Arial" w:hAnsi="Arial" w:cs="Arial"/>
        </w:rPr>
        <w:t>2011</w:t>
      </w:r>
      <w:r w:rsidRPr="004F7246">
        <w:rPr>
          <w:rFonts w:ascii="Arial" w:hAnsi="Arial" w:cs="Arial"/>
        </w:rPr>
        <w:t>.</w:t>
      </w:r>
      <w:r w:rsidR="00607B70" w:rsidRPr="004F7246">
        <w:rPr>
          <w:rFonts w:ascii="Arial" w:hAnsi="Arial" w:cs="Arial"/>
        </w:rPr>
        <w:t xml:space="preserve"> </w:t>
      </w:r>
    </w:p>
    <w:p w14:paraId="245B0E30" w14:textId="77777777" w:rsidR="00C51847" w:rsidRPr="004F7246" w:rsidRDefault="00C51847" w:rsidP="00BD7D20">
      <w:pPr>
        <w:pStyle w:val="ListParagraph"/>
        <w:numPr>
          <w:ilvl w:val="0"/>
          <w:numId w:val="14"/>
        </w:numPr>
        <w:rPr>
          <w:rFonts w:ascii="Arial" w:hAnsi="Arial" w:cs="Arial"/>
        </w:rPr>
      </w:pPr>
      <w:r w:rsidRPr="004F7246">
        <w:rPr>
          <w:rFonts w:ascii="Arial" w:hAnsi="Arial" w:cs="Arial"/>
        </w:rPr>
        <w:t>GM International Operations (GMIO</w:t>
      </w:r>
      <w:r w:rsidR="00A71B76" w:rsidRPr="004F7246">
        <w:rPr>
          <w:rFonts w:ascii="Arial" w:hAnsi="Arial" w:cs="Arial"/>
        </w:rPr>
        <w:t>) reported EBIT-adjusted of $0.</w:t>
      </w:r>
      <w:r w:rsidR="00141C57" w:rsidRPr="004F7246">
        <w:rPr>
          <w:rFonts w:ascii="Arial" w:hAnsi="Arial" w:cs="Arial"/>
        </w:rPr>
        <w:t>5</w:t>
      </w:r>
      <w:r w:rsidRPr="004F7246">
        <w:rPr>
          <w:rFonts w:ascii="Arial" w:hAnsi="Arial" w:cs="Arial"/>
        </w:rPr>
        <w:t xml:space="preserve"> billion in the fourth quarter of </w:t>
      </w:r>
      <w:r w:rsidR="007A649F" w:rsidRPr="004F7246">
        <w:rPr>
          <w:rFonts w:ascii="Arial" w:hAnsi="Arial" w:cs="Arial"/>
        </w:rPr>
        <w:t>2012</w:t>
      </w:r>
      <w:r w:rsidRPr="004F7246">
        <w:rPr>
          <w:rFonts w:ascii="Arial" w:hAnsi="Arial" w:cs="Arial"/>
        </w:rPr>
        <w:t xml:space="preserve"> compared with $0.</w:t>
      </w:r>
      <w:r w:rsidR="00141C57" w:rsidRPr="004F7246">
        <w:rPr>
          <w:rFonts w:ascii="Arial" w:hAnsi="Arial" w:cs="Arial"/>
        </w:rPr>
        <w:t>4</w:t>
      </w:r>
      <w:r w:rsidRPr="004F7246">
        <w:rPr>
          <w:rFonts w:ascii="Arial" w:hAnsi="Arial" w:cs="Arial"/>
        </w:rPr>
        <w:t xml:space="preserve"> billion </w:t>
      </w:r>
      <w:r w:rsidR="00FC22B6" w:rsidRPr="004F7246">
        <w:rPr>
          <w:rFonts w:ascii="Arial" w:hAnsi="Arial" w:cs="Arial"/>
        </w:rPr>
        <w:t>in</w:t>
      </w:r>
      <w:r w:rsidRPr="004F7246">
        <w:rPr>
          <w:rFonts w:ascii="Arial" w:hAnsi="Arial" w:cs="Arial"/>
        </w:rPr>
        <w:t xml:space="preserve"> </w:t>
      </w:r>
      <w:r w:rsidR="007A649F" w:rsidRPr="004F7246">
        <w:rPr>
          <w:rFonts w:ascii="Arial" w:hAnsi="Arial" w:cs="Arial"/>
        </w:rPr>
        <w:t>2011</w:t>
      </w:r>
      <w:r w:rsidRPr="004F7246">
        <w:rPr>
          <w:rFonts w:ascii="Arial" w:hAnsi="Arial" w:cs="Arial"/>
        </w:rPr>
        <w:t xml:space="preserve">.  </w:t>
      </w:r>
      <w:r w:rsidR="00A71B76" w:rsidRPr="004F7246">
        <w:rPr>
          <w:rFonts w:ascii="Arial" w:hAnsi="Arial" w:cs="Arial"/>
        </w:rPr>
        <w:t>Full-year EBIT-adjusted was $2.2</w:t>
      </w:r>
      <w:r w:rsidR="00141C57" w:rsidRPr="004F7246">
        <w:rPr>
          <w:rFonts w:ascii="Arial" w:hAnsi="Arial" w:cs="Arial"/>
        </w:rPr>
        <w:t xml:space="preserve"> </w:t>
      </w:r>
      <w:r w:rsidRPr="004F7246">
        <w:rPr>
          <w:rFonts w:ascii="Arial" w:hAnsi="Arial" w:cs="Arial"/>
        </w:rPr>
        <w:t xml:space="preserve">billion in </w:t>
      </w:r>
      <w:r w:rsidR="007A649F" w:rsidRPr="004F7246">
        <w:rPr>
          <w:rFonts w:ascii="Arial" w:hAnsi="Arial" w:cs="Arial"/>
        </w:rPr>
        <w:t>2012</w:t>
      </w:r>
      <w:r w:rsidR="00A71B76" w:rsidRPr="004F7246">
        <w:rPr>
          <w:rFonts w:ascii="Arial" w:hAnsi="Arial" w:cs="Arial"/>
        </w:rPr>
        <w:t xml:space="preserve"> compared with $1.9</w:t>
      </w:r>
      <w:r w:rsidRPr="004F7246">
        <w:rPr>
          <w:rFonts w:ascii="Arial" w:hAnsi="Arial" w:cs="Arial"/>
        </w:rPr>
        <w:t xml:space="preserve"> billion in </w:t>
      </w:r>
      <w:r w:rsidR="007A649F" w:rsidRPr="004F7246">
        <w:rPr>
          <w:rFonts w:ascii="Arial" w:hAnsi="Arial" w:cs="Arial"/>
        </w:rPr>
        <w:t>2011</w:t>
      </w:r>
      <w:r w:rsidRPr="004F7246">
        <w:rPr>
          <w:rFonts w:ascii="Arial" w:hAnsi="Arial" w:cs="Arial"/>
        </w:rPr>
        <w:t xml:space="preserve">. </w:t>
      </w:r>
    </w:p>
    <w:p w14:paraId="543C1ECE" w14:textId="77777777" w:rsidR="00C51847" w:rsidRPr="00C271D9" w:rsidRDefault="00C51847" w:rsidP="00BD7D20">
      <w:pPr>
        <w:pStyle w:val="ListParagraph"/>
        <w:numPr>
          <w:ilvl w:val="0"/>
          <w:numId w:val="14"/>
        </w:numPr>
        <w:rPr>
          <w:rFonts w:ascii="Arial" w:hAnsi="Arial" w:cs="Arial"/>
        </w:rPr>
      </w:pPr>
      <w:r w:rsidRPr="00C271D9">
        <w:rPr>
          <w:rFonts w:ascii="Arial" w:hAnsi="Arial" w:cs="Arial"/>
        </w:rPr>
        <w:t xml:space="preserve">GM South America (GMSA) reported </w:t>
      </w:r>
      <w:r w:rsidR="00DF5EA4" w:rsidRPr="00C271D9">
        <w:rPr>
          <w:rFonts w:ascii="Arial" w:hAnsi="Arial" w:cs="Arial"/>
        </w:rPr>
        <w:t>EBIT-adjusted of $0.1</w:t>
      </w:r>
      <w:r w:rsidRPr="00C271D9">
        <w:rPr>
          <w:rFonts w:ascii="Arial" w:hAnsi="Arial" w:cs="Arial"/>
        </w:rPr>
        <w:t xml:space="preserve"> billion in the fourth quarter of </w:t>
      </w:r>
      <w:r w:rsidR="007A649F" w:rsidRPr="00C271D9">
        <w:rPr>
          <w:rFonts w:ascii="Arial" w:hAnsi="Arial" w:cs="Arial"/>
        </w:rPr>
        <w:t>2012</w:t>
      </w:r>
      <w:r w:rsidR="003E6DD5" w:rsidRPr="00C271D9">
        <w:rPr>
          <w:rFonts w:ascii="Arial" w:hAnsi="Arial" w:cs="Arial"/>
        </w:rPr>
        <w:t xml:space="preserve">, </w:t>
      </w:r>
      <w:r w:rsidRPr="00C271D9">
        <w:rPr>
          <w:rFonts w:ascii="Arial" w:hAnsi="Arial" w:cs="Arial"/>
        </w:rPr>
        <w:t xml:space="preserve">compared with </w:t>
      </w:r>
      <w:r w:rsidR="004F7246" w:rsidRPr="00C271D9">
        <w:rPr>
          <w:rFonts w:ascii="Arial" w:hAnsi="Arial" w:cs="Arial"/>
        </w:rPr>
        <w:t xml:space="preserve">$(0.2) billion in </w:t>
      </w:r>
      <w:r w:rsidR="007A649F" w:rsidRPr="00C271D9">
        <w:rPr>
          <w:rFonts w:ascii="Arial" w:hAnsi="Arial" w:cs="Arial"/>
        </w:rPr>
        <w:t>2011</w:t>
      </w:r>
      <w:r w:rsidRPr="00C271D9">
        <w:rPr>
          <w:rFonts w:ascii="Arial" w:hAnsi="Arial" w:cs="Arial"/>
        </w:rPr>
        <w:t xml:space="preserve">.  Full-year </w:t>
      </w:r>
      <w:r w:rsidR="008A6353" w:rsidRPr="00C271D9">
        <w:rPr>
          <w:rFonts w:ascii="Arial" w:hAnsi="Arial" w:cs="Arial"/>
        </w:rPr>
        <w:t>EBIT-adjusted was $0.3</w:t>
      </w:r>
      <w:r w:rsidRPr="00C271D9">
        <w:rPr>
          <w:rFonts w:ascii="Arial" w:hAnsi="Arial" w:cs="Arial"/>
        </w:rPr>
        <w:t xml:space="preserve"> billion in </w:t>
      </w:r>
      <w:r w:rsidR="007A649F" w:rsidRPr="00C271D9">
        <w:rPr>
          <w:rFonts w:ascii="Arial" w:hAnsi="Arial" w:cs="Arial"/>
        </w:rPr>
        <w:t>2012</w:t>
      </w:r>
      <w:r w:rsidRPr="00C271D9">
        <w:rPr>
          <w:rFonts w:ascii="Arial" w:hAnsi="Arial" w:cs="Arial"/>
        </w:rPr>
        <w:t xml:space="preserve"> compared with EBIT-adjusted of $</w:t>
      </w:r>
      <w:r w:rsidR="004F7246" w:rsidRPr="00C271D9">
        <w:rPr>
          <w:rFonts w:ascii="Arial" w:hAnsi="Arial" w:cs="Arial"/>
        </w:rPr>
        <w:t>(</w:t>
      </w:r>
      <w:r w:rsidRPr="00C271D9">
        <w:rPr>
          <w:rFonts w:ascii="Arial" w:hAnsi="Arial" w:cs="Arial"/>
        </w:rPr>
        <w:t>0.</w:t>
      </w:r>
      <w:r w:rsidR="008A6353" w:rsidRPr="00C271D9">
        <w:rPr>
          <w:rFonts w:ascii="Arial" w:hAnsi="Arial" w:cs="Arial"/>
        </w:rPr>
        <w:t>1</w:t>
      </w:r>
      <w:r w:rsidR="004F7246" w:rsidRPr="00C271D9">
        <w:rPr>
          <w:rFonts w:ascii="Arial" w:hAnsi="Arial" w:cs="Arial"/>
        </w:rPr>
        <w:t>)</w:t>
      </w:r>
      <w:r w:rsidRPr="00C271D9">
        <w:rPr>
          <w:rFonts w:ascii="Arial" w:hAnsi="Arial" w:cs="Arial"/>
        </w:rPr>
        <w:t xml:space="preserve"> billion in </w:t>
      </w:r>
      <w:r w:rsidR="007A649F" w:rsidRPr="00C271D9">
        <w:rPr>
          <w:rFonts w:ascii="Arial" w:hAnsi="Arial" w:cs="Arial"/>
        </w:rPr>
        <w:t>2011</w:t>
      </w:r>
      <w:r w:rsidRPr="00C271D9">
        <w:rPr>
          <w:rFonts w:ascii="Arial" w:hAnsi="Arial" w:cs="Arial"/>
        </w:rPr>
        <w:t xml:space="preserve">. </w:t>
      </w:r>
    </w:p>
    <w:p w14:paraId="217696BC" w14:textId="6FCB508F" w:rsidR="004F7246" w:rsidRPr="00EC6FDD" w:rsidRDefault="004F7246" w:rsidP="00BD7D20">
      <w:pPr>
        <w:pStyle w:val="ListParagraph"/>
        <w:numPr>
          <w:ilvl w:val="0"/>
          <w:numId w:val="14"/>
        </w:numPr>
        <w:rPr>
          <w:rFonts w:ascii="Arial" w:hAnsi="Arial" w:cs="Arial"/>
        </w:rPr>
      </w:pPr>
      <w:r w:rsidRPr="00EC6FDD">
        <w:rPr>
          <w:rFonts w:ascii="Arial" w:hAnsi="Arial" w:cs="Arial"/>
        </w:rPr>
        <w:t>GM Financial</w:t>
      </w:r>
      <w:r w:rsidR="00C271D9" w:rsidRPr="00EC6FDD">
        <w:rPr>
          <w:rFonts w:ascii="Arial" w:hAnsi="Arial" w:cs="Arial"/>
        </w:rPr>
        <w:t xml:space="preserve"> reported </w:t>
      </w:r>
      <w:r w:rsidR="00E4738C">
        <w:rPr>
          <w:rFonts w:ascii="Arial" w:hAnsi="Arial" w:cs="Arial"/>
        </w:rPr>
        <w:t>earnings before taxes (EBT)</w:t>
      </w:r>
      <w:r w:rsidR="00EC6FDD" w:rsidRPr="00EC6FDD">
        <w:rPr>
          <w:rFonts w:ascii="Arial" w:hAnsi="Arial" w:cs="Arial"/>
        </w:rPr>
        <w:t xml:space="preserve"> of $0.1</w:t>
      </w:r>
      <w:r w:rsidR="00C271D9" w:rsidRPr="00EC6FDD">
        <w:rPr>
          <w:rFonts w:ascii="Arial" w:hAnsi="Arial" w:cs="Arial"/>
        </w:rPr>
        <w:t xml:space="preserve"> </w:t>
      </w:r>
      <w:r w:rsidR="003D4778">
        <w:rPr>
          <w:rFonts w:ascii="Arial" w:hAnsi="Arial" w:cs="Arial"/>
        </w:rPr>
        <w:t xml:space="preserve">billion </w:t>
      </w:r>
      <w:r w:rsidR="00C271D9" w:rsidRPr="00EC6FDD">
        <w:rPr>
          <w:rFonts w:ascii="Arial" w:hAnsi="Arial" w:cs="Arial"/>
        </w:rPr>
        <w:t>in the fourth quarter of 2012, compared with $</w:t>
      </w:r>
      <w:r w:rsidR="00EC6FDD" w:rsidRPr="00EC6FDD">
        <w:rPr>
          <w:rFonts w:ascii="Arial" w:hAnsi="Arial" w:cs="Arial"/>
        </w:rPr>
        <w:t>0.2</w:t>
      </w:r>
      <w:r w:rsidR="00C271D9" w:rsidRPr="00EC6FDD">
        <w:rPr>
          <w:rFonts w:ascii="Arial" w:hAnsi="Arial" w:cs="Arial"/>
        </w:rPr>
        <w:t xml:space="preserve"> </w:t>
      </w:r>
      <w:r w:rsidR="003D4778">
        <w:rPr>
          <w:rFonts w:ascii="Arial" w:hAnsi="Arial" w:cs="Arial"/>
        </w:rPr>
        <w:t xml:space="preserve">billion </w:t>
      </w:r>
      <w:r w:rsidR="00C271D9" w:rsidRPr="00EC6FDD">
        <w:rPr>
          <w:rFonts w:ascii="Arial" w:hAnsi="Arial" w:cs="Arial"/>
        </w:rPr>
        <w:t>in 2011. Full-year EBT</w:t>
      </w:r>
      <w:r w:rsidR="00E4738C">
        <w:rPr>
          <w:rFonts w:ascii="Arial" w:hAnsi="Arial" w:cs="Arial"/>
        </w:rPr>
        <w:t xml:space="preserve"> </w:t>
      </w:r>
      <w:r w:rsidR="00C271D9" w:rsidRPr="00EC6FDD">
        <w:rPr>
          <w:rFonts w:ascii="Arial" w:hAnsi="Arial" w:cs="Arial"/>
        </w:rPr>
        <w:t xml:space="preserve">was $0.7 billion, compared to $0.6 billion in 2011. </w:t>
      </w:r>
    </w:p>
    <w:p w14:paraId="5D81723A" w14:textId="77777777" w:rsidR="00D10580" w:rsidRPr="00CD1082" w:rsidRDefault="00D10580" w:rsidP="00D10580">
      <w:pPr>
        <w:pStyle w:val="NoSpacing"/>
        <w:rPr>
          <w:rFonts w:ascii="Arial" w:hAnsi="Arial" w:cs="Arial"/>
          <w:b/>
        </w:rPr>
      </w:pPr>
      <w:r w:rsidRPr="00CD1082">
        <w:rPr>
          <w:rFonts w:ascii="Arial" w:hAnsi="Arial" w:cs="Arial"/>
          <w:b/>
        </w:rPr>
        <w:t>Cash Flow and Liquidity</w:t>
      </w:r>
    </w:p>
    <w:p w14:paraId="4A08034C" w14:textId="77777777" w:rsidR="00C51847" w:rsidRPr="00CD1082" w:rsidRDefault="00C51847" w:rsidP="009A6EC4">
      <w:pPr>
        <w:rPr>
          <w:rFonts w:ascii="Arial" w:hAnsi="Arial" w:cs="Arial"/>
        </w:rPr>
      </w:pPr>
      <w:r w:rsidRPr="00CD1082">
        <w:rPr>
          <w:rFonts w:ascii="Arial" w:hAnsi="Arial" w:cs="Arial"/>
        </w:rPr>
        <w:t xml:space="preserve">For the fourth quarter of </w:t>
      </w:r>
      <w:r w:rsidR="007A649F" w:rsidRPr="00CD1082">
        <w:rPr>
          <w:rFonts w:ascii="Arial" w:hAnsi="Arial" w:cs="Arial"/>
        </w:rPr>
        <w:t>2012</w:t>
      </w:r>
      <w:r w:rsidRPr="00CD1082">
        <w:rPr>
          <w:rFonts w:ascii="Arial" w:hAnsi="Arial" w:cs="Arial"/>
        </w:rPr>
        <w:t xml:space="preserve">, automotive cash flow from operating activities was </w:t>
      </w:r>
      <w:r w:rsidR="001B3F57" w:rsidRPr="00CD1082">
        <w:rPr>
          <w:rFonts w:ascii="Arial" w:hAnsi="Arial" w:cs="Arial"/>
        </w:rPr>
        <w:t>$</w:t>
      </w:r>
      <w:r w:rsidR="006930D1">
        <w:rPr>
          <w:rFonts w:ascii="Arial" w:hAnsi="Arial" w:cs="Arial"/>
        </w:rPr>
        <w:t>0.5</w:t>
      </w:r>
      <w:r w:rsidRPr="00CD1082">
        <w:rPr>
          <w:rFonts w:ascii="Arial" w:hAnsi="Arial" w:cs="Arial"/>
        </w:rPr>
        <w:t xml:space="preserve"> billion</w:t>
      </w:r>
      <w:r w:rsidR="00A84A4D" w:rsidRPr="00CD1082">
        <w:rPr>
          <w:rFonts w:ascii="Arial" w:hAnsi="Arial" w:cs="Arial"/>
        </w:rPr>
        <w:t>, compared to $</w:t>
      </w:r>
      <w:r w:rsidR="006930D1">
        <w:rPr>
          <w:rFonts w:ascii="Arial" w:hAnsi="Arial" w:cs="Arial"/>
        </w:rPr>
        <w:t>1.2</w:t>
      </w:r>
      <w:r w:rsidR="00A84A4D" w:rsidRPr="00CD1082">
        <w:rPr>
          <w:rFonts w:ascii="Arial" w:hAnsi="Arial" w:cs="Arial"/>
        </w:rPr>
        <w:t xml:space="preserve"> billion in 2011. In the fourth quarter of 2012, </w:t>
      </w:r>
      <w:r w:rsidR="004E2F76">
        <w:rPr>
          <w:rFonts w:ascii="Arial" w:hAnsi="Arial" w:cs="Arial"/>
        </w:rPr>
        <w:t xml:space="preserve">adjusted </w:t>
      </w:r>
      <w:r w:rsidR="00A84A4D" w:rsidRPr="00CD1082">
        <w:rPr>
          <w:rFonts w:ascii="Arial" w:hAnsi="Arial" w:cs="Arial"/>
        </w:rPr>
        <w:t>a</w:t>
      </w:r>
      <w:r w:rsidRPr="00CD1082">
        <w:rPr>
          <w:rFonts w:ascii="Arial" w:hAnsi="Arial" w:cs="Arial"/>
        </w:rPr>
        <w:t>utomotive free cash flow was</w:t>
      </w:r>
      <w:r w:rsidR="008206A6" w:rsidRPr="00CD1082">
        <w:rPr>
          <w:rFonts w:ascii="Arial" w:hAnsi="Arial" w:cs="Arial"/>
        </w:rPr>
        <w:t xml:space="preserve"> </w:t>
      </w:r>
      <w:r w:rsidR="00FE4098" w:rsidRPr="00CD1082">
        <w:rPr>
          <w:rFonts w:ascii="Arial" w:hAnsi="Arial" w:cs="Arial"/>
        </w:rPr>
        <w:t>$</w:t>
      </w:r>
      <w:r w:rsidR="00D13D67" w:rsidRPr="00CD1082">
        <w:rPr>
          <w:rFonts w:ascii="Arial" w:hAnsi="Arial" w:cs="Arial"/>
        </w:rPr>
        <w:t>1.1</w:t>
      </w:r>
      <w:r w:rsidRPr="00CD1082">
        <w:rPr>
          <w:rFonts w:ascii="Arial" w:hAnsi="Arial" w:cs="Arial"/>
        </w:rPr>
        <w:t xml:space="preserve"> billion</w:t>
      </w:r>
      <w:r w:rsidR="00E1104A">
        <w:rPr>
          <w:rFonts w:ascii="Arial" w:hAnsi="Arial" w:cs="Arial"/>
        </w:rPr>
        <w:t>, compared to $(0.2</w:t>
      </w:r>
      <w:r w:rsidR="00A84A4D" w:rsidRPr="00CD1082">
        <w:rPr>
          <w:rFonts w:ascii="Arial" w:hAnsi="Arial" w:cs="Arial"/>
        </w:rPr>
        <w:t>) billion in 2011</w:t>
      </w:r>
      <w:r w:rsidR="004D63FC" w:rsidRPr="00CD1082">
        <w:rPr>
          <w:rFonts w:ascii="Arial" w:hAnsi="Arial" w:cs="Arial"/>
        </w:rPr>
        <w:t xml:space="preserve">. </w:t>
      </w:r>
      <w:r w:rsidR="00FE4098" w:rsidRPr="00CD1082">
        <w:rPr>
          <w:rFonts w:ascii="Arial" w:hAnsi="Arial" w:cs="Arial"/>
        </w:rPr>
        <w:t xml:space="preserve">For the year, </w:t>
      </w:r>
      <w:r w:rsidR="004E2F76">
        <w:rPr>
          <w:rFonts w:ascii="Arial" w:hAnsi="Arial" w:cs="Arial"/>
        </w:rPr>
        <w:t xml:space="preserve">adjusted </w:t>
      </w:r>
      <w:r w:rsidR="00FE4098" w:rsidRPr="00CD1082">
        <w:rPr>
          <w:rFonts w:ascii="Arial" w:hAnsi="Arial" w:cs="Arial"/>
        </w:rPr>
        <w:t>automotive free cash flow was $</w:t>
      </w:r>
      <w:r w:rsidR="00D13D67" w:rsidRPr="00CD1082">
        <w:rPr>
          <w:rFonts w:ascii="Arial" w:hAnsi="Arial" w:cs="Arial"/>
        </w:rPr>
        <w:t>4.3</w:t>
      </w:r>
      <w:r w:rsidR="00FE4098" w:rsidRPr="00CD1082">
        <w:rPr>
          <w:rFonts w:ascii="Arial" w:hAnsi="Arial" w:cs="Arial"/>
        </w:rPr>
        <w:t xml:space="preserve"> billion, compared to $</w:t>
      </w:r>
      <w:r w:rsidR="00D13D67" w:rsidRPr="00CD1082">
        <w:rPr>
          <w:rFonts w:ascii="Arial" w:hAnsi="Arial" w:cs="Arial"/>
        </w:rPr>
        <w:t>3.</w:t>
      </w:r>
      <w:r w:rsidR="00E1104A">
        <w:rPr>
          <w:rFonts w:ascii="Arial" w:hAnsi="Arial" w:cs="Arial"/>
        </w:rPr>
        <w:t>0</w:t>
      </w:r>
      <w:r w:rsidR="00FE4098" w:rsidRPr="00CD1082">
        <w:rPr>
          <w:rFonts w:ascii="Arial" w:hAnsi="Arial" w:cs="Arial"/>
        </w:rPr>
        <w:t xml:space="preserve"> billion a year ago. </w:t>
      </w:r>
    </w:p>
    <w:p w14:paraId="3073477D" w14:textId="77777777" w:rsidR="00C51847" w:rsidRDefault="00C51847" w:rsidP="004D1363">
      <w:pPr>
        <w:autoSpaceDE w:val="0"/>
        <w:autoSpaceDN w:val="0"/>
        <w:adjustRightInd w:val="0"/>
        <w:spacing w:after="0" w:line="240" w:lineRule="auto"/>
        <w:rPr>
          <w:rFonts w:ascii="Arial" w:hAnsi="Arial" w:cs="Arial"/>
        </w:rPr>
      </w:pPr>
      <w:r w:rsidRPr="00CD1082">
        <w:rPr>
          <w:rFonts w:ascii="Arial" w:hAnsi="Arial" w:cs="Arial"/>
        </w:rPr>
        <w:t xml:space="preserve">GM ended </w:t>
      </w:r>
      <w:r w:rsidR="00CD1082">
        <w:rPr>
          <w:rFonts w:ascii="Arial" w:hAnsi="Arial" w:cs="Arial"/>
        </w:rPr>
        <w:t>2012</w:t>
      </w:r>
      <w:r w:rsidRPr="00CD1082">
        <w:rPr>
          <w:rFonts w:ascii="Arial" w:hAnsi="Arial" w:cs="Arial"/>
        </w:rPr>
        <w:t xml:space="preserve"> with strong total </w:t>
      </w:r>
      <w:r w:rsidRPr="00CD1082">
        <w:rPr>
          <w:rFonts w:ascii="Arial" w:hAnsi="Arial" w:cs="Arial"/>
          <w:bCs/>
        </w:rPr>
        <w:t xml:space="preserve">automotive </w:t>
      </w:r>
      <w:r w:rsidRPr="00CD1082">
        <w:rPr>
          <w:rFonts w:ascii="Arial" w:hAnsi="Arial" w:cs="Arial"/>
        </w:rPr>
        <w:t>liquidity of $37.</w:t>
      </w:r>
      <w:r w:rsidR="008C3906">
        <w:rPr>
          <w:rFonts w:ascii="Arial" w:hAnsi="Arial" w:cs="Arial"/>
        </w:rPr>
        <w:t>2</w:t>
      </w:r>
      <w:r w:rsidRPr="00CD1082">
        <w:rPr>
          <w:rFonts w:ascii="Arial" w:hAnsi="Arial" w:cs="Arial"/>
        </w:rPr>
        <w:t xml:space="preserve"> billion compared with $</w:t>
      </w:r>
      <w:r w:rsidR="00272A49" w:rsidRPr="00CD1082">
        <w:rPr>
          <w:rFonts w:ascii="Arial" w:hAnsi="Arial" w:cs="Arial"/>
        </w:rPr>
        <w:t>37.</w:t>
      </w:r>
      <w:r w:rsidR="008C3906">
        <w:rPr>
          <w:rFonts w:ascii="Arial" w:hAnsi="Arial" w:cs="Arial"/>
        </w:rPr>
        <w:t>0</w:t>
      </w:r>
      <w:r w:rsidRPr="00CD1082">
        <w:rPr>
          <w:rFonts w:ascii="Arial" w:hAnsi="Arial" w:cs="Arial"/>
        </w:rPr>
        <w:t xml:space="preserve"> billion </w:t>
      </w:r>
      <w:r w:rsidR="00D05C07" w:rsidRPr="00CD1082">
        <w:rPr>
          <w:rFonts w:ascii="Arial" w:hAnsi="Arial" w:cs="Arial"/>
        </w:rPr>
        <w:t>at year-end in</w:t>
      </w:r>
      <w:r w:rsidRPr="00CD1082">
        <w:rPr>
          <w:rFonts w:ascii="Arial" w:hAnsi="Arial" w:cs="Arial"/>
        </w:rPr>
        <w:t xml:space="preserve"> </w:t>
      </w:r>
      <w:r w:rsidR="007A649F" w:rsidRPr="00CD1082">
        <w:rPr>
          <w:rFonts w:ascii="Arial" w:hAnsi="Arial" w:cs="Arial"/>
        </w:rPr>
        <w:t>2011</w:t>
      </w:r>
      <w:r w:rsidRPr="00CD1082">
        <w:rPr>
          <w:rFonts w:ascii="Arial" w:hAnsi="Arial" w:cs="Arial"/>
        </w:rPr>
        <w:t xml:space="preserve">.  </w:t>
      </w:r>
      <w:r w:rsidRPr="00CD1082">
        <w:rPr>
          <w:rFonts w:ascii="Arial" w:hAnsi="Arial" w:cs="Arial"/>
          <w:bCs/>
        </w:rPr>
        <w:t xml:space="preserve">Automotive </w:t>
      </w:r>
      <w:r w:rsidRPr="00CD1082">
        <w:rPr>
          <w:rFonts w:ascii="Arial" w:hAnsi="Arial" w:cs="Arial"/>
        </w:rPr>
        <w:t>cash and</w:t>
      </w:r>
      <w:r w:rsidR="001B3F57" w:rsidRPr="00CD1082">
        <w:rPr>
          <w:rFonts w:ascii="Arial" w:hAnsi="Arial" w:cs="Arial"/>
        </w:rPr>
        <w:t xml:space="preserve"> marketable securities was $2</w:t>
      </w:r>
      <w:r w:rsidR="008C3906">
        <w:rPr>
          <w:rFonts w:ascii="Arial" w:hAnsi="Arial" w:cs="Arial"/>
        </w:rPr>
        <w:t>6.1</w:t>
      </w:r>
      <w:r w:rsidRPr="00CD1082">
        <w:rPr>
          <w:rFonts w:ascii="Arial" w:hAnsi="Arial" w:cs="Arial"/>
        </w:rPr>
        <w:t xml:space="preserve"> billion</w:t>
      </w:r>
      <w:r w:rsidR="00CD1082">
        <w:rPr>
          <w:rFonts w:ascii="Arial" w:hAnsi="Arial" w:cs="Arial"/>
        </w:rPr>
        <w:t xml:space="preserve"> at the end of 2012, compared with $31.6 billion a year earlier.</w:t>
      </w:r>
    </w:p>
    <w:p w14:paraId="518A47D2" w14:textId="77777777" w:rsidR="001878BF" w:rsidRDefault="001878BF" w:rsidP="004D1363">
      <w:pPr>
        <w:autoSpaceDE w:val="0"/>
        <w:autoSpaceDN w:val="0"/>
        <w:adjustRightInd w:val="0"/>
        <w:spacing w:after="0" w:line="240" w:lineRule="auto"/>
        <w:rPr>
          <w:rFonts w:ascii="Arial" w:hAnsi="Arial" w:cs="Arial"/>
        </w:rPr>
      </w:pPr>
    </w:p>
    <w:p w14:paraId="40F23315" w14:textId="77777777" w:rsidR="001878BF" w:rsidRPr="00CD1082" w:rsidRDefault="001878BF" w:rsidP="004D1363">
      <w:pPr>
        <w:autoSpaceDE w:val="0"/>
        <w:autoSpaceDN w:val="0"/>
        <w:adjustRightInd w:val="0"/>
        <w:spacing w:after="0" w:line="240" w:lineRule="auto"/>
        <w:rPr>
          <w:rFonts w:ascii="Arial" w:hAnsi="Arial" w:cs="Arial"/>
        </w:rPr>
      </w:pPr>
      <w:r>
        <w:rPr>
          <w:rFonts w:ascii="Arial" w:hAnsi="Arial" w:cs="Arial"/>
        </w:rPr>
        <w:lastRenderedPageBreak/>
        <w:t>GM expects capital expenditures for 2013 to be similar to 2012.</w:t>
      </w:r>
    </w:p>
    <w:p w14:paraId="269E86C5" w14:textId="77777777" w:rsidR="004E2174" w:rsidRPr="00E66503" w:rsidRDefault="004E2174" w:rsidP="00441462">
      <w:pPr>
        <w:tabs>
          <w:tab w:val="left" w:pos="9540"/>
        </w:tabs>
        <w:autoSpaceDE w:val="0"/>
        <w:autoSpaceDN w:val="0"/>
        <w:adjustRightInd w:val="0"/>
        <w:spacing w:after="0" w:line="240" w:lineRule="auto"/>
        <w:rPr>
          <w:rFonts w:ascii="Arial" w:hAnsi="Arial" w:cs="Arial"/>
          <w:color w:val="FF0000"/>
        </w:rPr>
      </w:pPr>
    </w:p>
    <w:p w14:paraId="0083DE3B" w14:textId="77777777" w:rsidR="00922AAA" w:rsidRDefault="00D10580" w:rsidP="00672144">
      <w:pPr>
        <w:autoSpaceDE w:val="0"/>
        <w:autoSpaceDN w:val="0"/>
        <w:adjustRightInd w:val="0"/>
        <w:spacing w:after="0" w:line="240" w:lineRule="auto"/>
        <w:rPr>
          <w:rFonts w:ascii="Arial" w:hAnsi="Arial" w:cs="Arial"/>
          <w:b/>
          <w:shd w:val="clear" w:color="auto" w:fill="FFFFFF"/>
        </w:rPr>
      </w:pPr>
      <w:r w:rsidRPr="00CD1082">
        <w:rPr>
          <w:rFonts w:ascii="Arial" w:hAnsi="Arial" w:cs="Arial"/>
          <w:b/>
          <w:shd w:val="clear" w:color="auto" w:fill="FFFFFF"/>
        </w:rPr>
        <w:t xml:space="preserve">U.S. Pension Update </w:t>
      </w:r>
    </w:p>
    <w:p w14:paraId="163460A8" w14:textId="5DF12FB5" w:rsidR="00CF42C0" w:rsidRPr="00922AAA" w:rsidRDefault="00CF42C0" w:rsidP="00672144">
      <w:pPr>
        <w:autoSpaceDE w:val="0"/>
        <w:autoSpaceDN w:val="0"/>
        <w:adjustRightInd w:val="0"/>
        <w:spacing w:after="0" w:line="240" w:lineRule="auto"/>
        <w:rPr>
          <w:rFonts w:ascii="Arial" w:hAnsi="Arial" w:cs="Arial"/>
          <w:b/>
          <w:shd w:val="clear" w:color="auto" w:fill="FFFFFF"/>
        </w:rPr>
      </w:pPr>
      <w:r w:rsidRPr="005E0942">
        <w:rPr>
          <w:rFonts w:ascii="Arial" w:hAnsi="Arial" w:cs="Arial"/>
          <w:shd w:val="clear" w:color="auto" w:fill="FFFFFF"/>
        </w:rPr>
        <w:t>GM’s U.S. defined benefit pension plans earned asset</w:t>
      </w:r>
      <w:r>
        <w:rPr>
          <w:rFonts w:ascii="Arial" w:hAnsi="Arial" w:cs="Arial"/>
          <w:shd w:val="clear" w:color="auto" w:fill="FFFFFF"/>
        </w:rPr>
        <w:t xml:space="preserve"> returns of 11.6 percent in 2012 and ended the year</w:t>
      </w:r>
      <w:r w:rsidR="00651F4C" w:rsidRPr="00CD1082">
        <w:rPr>
          <w:rFonts w:ascii="Arial" w:hAnsi="Arial" w:cs="Arial"/>
          <w:shd w:val="clear" w:color="auto" w:fill="FFFFFF"/>
        </w:rPr>
        <w:t xml:space="preserve"> 84 percent funded</w:t>
      </w:r>
      <w:r>
        <w:rPr>
          <w:rFonts w:ascii="Arial" w:hAnsi="Arial" w:cs="Arial"/>
          <w:shd w:val="clear" w:color="auto" w:fill="FFFFFF"/>
        </w:rPr>
        <w:t>. T</w:t>
      </w:r>
      <w:r w:rsidR="00651F4C" w:rsidRPr="00CD1082">
        <w:rPr>
          <w:rFonts w:ascii="Arial" w:hAnsi="Arial" w:cs="Arial"/>
          <w:shd w:val="clear" w:color="auto" w:fill="FFFFFF"/>
        </w:rPr>
        <w:t xml:space="preserve">he underfunded </w:t>
      </w:r>
      <w:r w:rsidR="001878BF">
        <w:rPr>
          <w:rFonts w:ascii="Arial" w:hAnsi="Arial" w:cs="Arial"/>
          <w:shd w:val="clear" w:color="auto" w:fill="FFFFFF"/>
        </w:rPr>
        <w:t xml:space="preserve">position </w:t>
      </w:r>
      <w:r>
        <w:rPr>
          <w:rFonts w:ascii="Arial" w:hAnsi="Arial" w:cs="Arial"/>
          <w:shd w:val="clear" w:color="auto" w:fill="FFFFFF"/>
        </w:rPr>
        <w:t>stood at</w:t>
      </w:r>
      <w:r w:rsidR="00D05C07" w:rsidRPr="00CD1082">
        <w:rPr>
          <w:rFonts w:ascii="Arial" w:hAnsi="Arial" w:cs="Arial"/>
          <w:shd w:val="clear" w:color="auto" w:fill="FFFFFF"/>
        </w:rPr>
        <w:t xml:space="preserve"> $13</w:t>
      </w:r>
      <w:r>
        <w:rPr>
          <w:rFonts w:ascii="Arial" w:hAnsi="Arial" w:cs="Arial"/>
          <w:shd w:val="clear" w:color="auto" w:fill="FFFFFF"/>
        </w:rPr>
        <w:t>.1</w:t>
      </w:r>
      <w:r w:rsidR="00D05C07" w:rsidRPr="00CD1082">
        <w:rPr>
          <w:rFonts w:ascii="Arial" w:hAnsi="Arial" w:cs="Arial"/>
          <w:shd w:val="clear" w:color="auto" w:fill="FFFFFF"/>
        </w:rPr>
        <w:t xml:space="preserve"> billion, </w:t>
      </w:r>
      <w:r w:rsidR="00272A49" w:rsidRPr="00CD1082">
        <w:rPr>
          <w:rFonts w:ascii="Arial" w:hAnsi="Arial" w:cs="Arial"/>
          <w:shd w:val="clear" w:color="auto" w:fill="FFFFFF"/>
        </w:rPr>
        <w:t>slightly</w:t>
      </w:r>
      <w:r w:rsidR="00D05C07" w:rsidRPr="00CD1082">
        <w:rPr>
          <w:rFonts w:ascii="Arial" w:hAnsi="Arial" w:cs="Arial"/>
          <w:shd w:val="clear" w:color="auto" w:fill="FFFFFF"/>
        </w:rPr>
        <w:t xml:space="preserve"> </w:t>
      </w:r>
      <w:r w:rsidR="001878BF">
        <w:rPr>
          <w:rFonts w:ascii="Arial" w:hAnsi="Arial" w:cs="Arial"/>
          <w:shd w:val="clear" w:color="auto" w:fill="FFFFFF"/>
        </w:rPr>
        <w:t xml:space="preserve">improved </w:t>
      </w:r>
      <w:r w:rsidR="00D05C07" w:rsidRPr="00CD1082">
        <w:rPr>
          <w:rFonts w:ascii="Arial" w:hAnsi="Arial" w:cs="Arial"/>
          <w:shd w:val="clear" w:color="auto" w:fill="FFFFFF"/>
        </w:rPr>
        <w:t>from the prior year</w:t>
      </w:r>
      <w:r w:rsidR="00672144" w:rsidRPr="00CD1082">
        <w:rPr>
          <w:rFonts w:ascii="Arial" w:hAnsi="Arial" w:cs="Arial"/>
          <w:shd w:val="clear" w:color="auto" w:fill="FFFFFF"/>
        </w:rPr>
        <w:t xml:space="preserve">. </w:t>
      </w:r>
      <w:r w:rsidR="001878BF">
        <w:rPr>
          <w:rFonts w:ascii="Arial" w:hAnsi="Arial" w:cs="Arial"/>
        </w:rPr>
        <w:t xml:space="preserve">As previously announced, during 2012 GM settled approximately $28 billion of its U.S. salaried pension liability through a combination of lump sum offers and </w:t>
      </w:r>
      <w:proofErr w:type="spellStart"/>
      <w:r w:rsidR="001878BF">
        <w:rPr>
          <w:rFonts w:ascii="Arial" w:hAnsi="Arial" w:cs="Arial"/>
        </w:rPr>
        <w:t>annuitizations</w:t>
      </w:r>
      <w:proofErr w:type="spellEnd"/>
      <w:r w:rsidR="00672144" w:rsidRPr="00CD1082">
        <w:rPr>
          <w:rFonts w:ascii="Arial" w:hAnsi="Arial" w:cs="Arial"/>
        </w:rPr>
        <w:t xml:space="preserve">. </w:t>
      </w:r>
    </w:p>
    <w:p w14:paraId="726CDCC1" w14:textId="77777777" w:rsidR="00CF42C0" w:rsidRDefault="00CF42C0" w:rsidP="00672144">
      <w:pPr>
        <w:autoSpaceDE w:val="0"/>
        <w:autoSpaceDN w:val="0"/>
        <w:adjustRightInd w:val="0"/>
        <w:spacing w:after="0" w:line="240" w:lineRule="auto"/>
        <w:rPr>
          <w:rFonts w:ascii="Arial" w:hAnsi="Arial" w:cs="Arial"/>
        </w:rPr>
      </w:pPr>
    </w:p>
    <w:p w14:paraId="555DBC24" w14:textId="412EB6B3" w:rsidR="00EF5799" w:rsidRPr="00F36054" w:rsidRDefault="006D5823" w:rsidP="00672144">
      <w:pPr>
        <w:autoSpaceDE w:val="0"/>
        <w:autoSpaceDN w:val="0"/>
        <w:adjustRightInd w:val="0"/>
        <w:spacing w:after="0" w:line="240" w:lineRule="auto"/>
        <w:rPr>
          <w:rFonts w:ascii="Arial" w:hAnsi="Arial" w:cs="Arial"/>
        </w:rPr>
      </w:pPr>
      <w:r>
        <w:rPr>
          <w:rFonts w:ascii="Arial" w:hAnsi="Arial" w:cs="Arial"/>
        </w:rPr>
        <w:t xml:space="preserve">Under current economic conditions, </w:t>
      </w:r>
      <w:r w:rsidR="00CF42C0">
        <w:rPr>
          <w:rFonts w:ascii="Arial" w:hAnsi="Arial" w:cs="Arial"/>
        </w:rPr>
        <w:t xml:space="preserve">GM </w:t>
      </w:r>
      <w:r w:rsidR="00F36054" w:rsidRPr="00F36054">
        <w:rPr>
          <w:rFonts w:ascii="Arial" w:hAnsi="Arial" w:cs="Arial"/>
        </w:rPr>
        <w:t xml:space="preserve">expects no mandatory contributions </w:t>
      </w:r>
      <w:r w:rsidR="00CF42C0">
        <w:rPr>
          <w:rFonts w:ascii="Arial" w:hAnsi="Arial" w:cs="Arial"/>
        </w:rPr>
        <w:t>to U.S. defined benefit pensi</w:t>
      </w:r>
      <w:r w:rsidR="005C3DBE">
        <w:rPr>
          <w:rFonts w:ascii="Arial" w:hAnsi="Arial" w:cs="Arial"/>
        </w:rPr>
        <w:t xml:space="preserve">on plans for </w:t>
      </w:r>
      <w:r>
        <w:rPr>
          <w:rFonts w:ascii="Arial" w:hAnsi="Arial" w:cs="Arial"/>
        </w:rPr>
        <w:t>at least</w:t>
      </w:r>
      <w:r w:rsidR="005C3DBE">
        <w:rPr>
          <w:rFonts w:ascii="Arial" w:hAnsi="Arial" w:cs="Arial"/>
        </w:rPr>
        <w:t xml:space="preserve"> five years. </w:t>
      </w:r>
      <w:r w:rsidR="00CF42C0">
        <w:rPr>
          <w:rFonts w:ascii="Arial" w:hAnsi="Arial" w:cs="Arial"/>
        </w:rPr>
        <w:t xml:space="preserve">While the company will continue to evaluate </w:t>
      </w:r>
      <w:r w:rsidR="001878BF">
        <w:rPr>
          <w:rFonts w:ascii="Arial" w:hAnsi="Arial" w:cs="Arial"/>
        </w:rPr>
        <w:t xml:space="preserve">opportunities </w:t>
      </w:r>
      <w:r w:rsidR="00CF42C0">
        <w:rPr>
          <w:rFonts w:ascii="Arial" w:hAnsi="Arial" w:cs="Arial"/>
        </w:rPr>
        <w:t xml:space="preserve">to make voluntary </w:t>
      </w:r>
      <w:r w:rsidR="004E2F76">
        <w:rPr>
          <w:rFonts w:ascii="Arial" w:hAnsi="Arial" w:cs="Arial"/>
        </w:rPr>
        <w:t xml:space="preserve">cash </w:t>
      </w:r>
      <w:r w:rsidR="00CF42C0">
        <w:rPr>
          <w:rFonts w:ascii="Arial" w:hAnsi="Arial" w:cs="Arial"/>
        </w:rPr>
        <w:t xml:space="preserve">contributions, it has no </w:t>
      </w:r>
      <w:r w:rsidR="001878BF">
        <w:rPr>
          <w:rFonts w:ascii="Arial" w:hAnsi="Arial" w:cs="Arial"/>
        </w:rPr>
        <w:t xml:space="preserve">current </w:t>
      </w:r>
      <w:r w:rsidR="00CF42C0">
        <w:rPr>
          <w:rFonts w:ascii="Arial" w:hAnsi="Arial" w:cs="Arial"/>
        </w:rPr>
        <w:t xml:space="preserve">plans to do </w:t>
      </w:r>
      <w:r w:rsidR="004E2F76">
        <w:rPr>
          <w:rFonts w:ascii="Arial" w:hAnsi="Arial" w:cs="Arial"/>
        </w:rPr>
        <w:t xml:space="preserve">so </w:t>
      </w:r>
      <w:r w:rsidR="005C3DBE">
        <w:rPr>
          <w:rFonts w:ascii="Arial" w:hAnsi="Arial" w:cs="Arial"/>
        </w:rPr>
        <w:t>in 2013</w:t>
      </w:r>
      <w:r w:rsidR="00CF42C0">
        <w:rPr>
          <w:rFonts w:ascii="Arial" w:hAnsi="Arial" w:cs="Arial"/>
        </w:rPr>
        <w:t xml:space="preserve">. </w:t>
      </w:r>
    </w:p>
    <w:p w14:paraId="08079DCE" w14:textId="77777777" w:rsidR="00EF5799" w:rsidRPr="00F36054" w:rsidRDefault="00EF5799" w:rsidP="00F56403">
      <w:pPr>
        <w:autoSpaceDE w:val="0"/>
        <w:autoSpaceDN w:val="0"/>
        <w:adjustRightInd w:val="0"/>
        <w:spacing w:after="0" w:line="240" w:lineRule="auto"/>
        <w:rPr>
          <w:rFonts w:ascii="Arial" w:hAnsi="Arial" w:cs="Arial"/>
        </w:rPr>
      </w:pPr>
    </w:p>
    <w:p w14:paraId="273D8A74" w14:textId="4C979AC6" w:rsidR="006D1506" w:rsidRPr="0034215D" w:rsidRDefault="006D1506" w:rsidP="006D1506">
      <w:pPr>
        <w:autoSpaceDE w:val="0"/>
        <w:autoSpaceDN w:val="0"/>
        <w:adjustRightInd w:val="0"/>
        <w:spacing w:after="0" w:line="240" w:lineRule="auto"/>
        <w:rPr>
          <w:rFonts w:ascii="Arial" w:hAnsi="Arial" w:cs="Arial"/>
        </w:rPr>
      </w:pPr>
      <w:r w:rsidRPr="0034215D">
        <w:rPr>
          <w:rFonts w:ascii="Arial" w:hAnsi="Arial" w:cs="Arial"/>
        </w:rPr>
        <w:t>“</w:t>
      </w:r>
      <w:r w:rsidR="00634C6D" w:rsidRPr="0034215D">
        <w:rPr>
          <w:rFonts w:ascii="Arial" w:hAnsi="Arial" w:cs="Arial"/>
        </w:rPr>
        <w:t xml:space="preserve">We’re pleased with our fourth quarter results, </w:t>
      </w:r>
      <w:r w:rsidR="00CF4157" w:rsidRPr="0034215D">
        <w:rPr>
          <w:rFonts w:ascii="Arial" w:hAnsi="Arial" w:cs="Arial"/>
        </w:rPr>
        <w:t>as the business</w:t>
      </w:r>
      <w:r w:rsidR="00634C6D" w:rsidRPr="0034215D">
        <w:rPr>
          <w:rFonts w:ascii="Arial" w:hAnsi="Arial" w:cs="Arial"/>
        </w:rPr>
        <w:t xml:space="preserve"> </w:t>
      </w:r>
      <w:r w:rsidR="003B5168" w:rsidRPr="0034215D">
        <w:rPr>
          <w:rFonts w:ascii="Arial" w:hAnsi="Arial" w:cs="Arial"/>
        </w:rPr>
        <w:t xml:space="preserve">generated strong </w:t>
      </w:r>
      <w:r w:rsidR="006A31AC">
        <w:rPr>
          <w:rFonts w:ascii="Arial" w:hAnsi="Arial" w:cs="Arial"/>
        </w:rPr>
        <w:t xml:space="preserve">adjusted </w:t>
      </w:r>
      <w:r w:rsidR="003B5168" w:rsidRPr="0034215D">
        <w:rPr>
          <w:rFonts w:ascii="Arial" w:hAnsi="Arial" w:cs="Arial"/>
        </w:rPr>
        <w:t>free cash flow</w:t>
      </w:r>
      <w:r w:rsidR="00BC2F0E" w:rsidRPr="0034215D">
        <w:rPr>
          <w:rFonts w:ascii="Arial" w:hAnsi="Arial" w:cs="Arial"/>
        </w:rPr>
        <w:t xml:space="preserve"> </w:t>
      </w:r>
      <w:r w:rsidR="00634C6D" w:rsidRPr="0034215D">
        <w:rPr>
          <w:rFonts w:ascii="Arial" w:hAnsi="Arial" w:cs="Arial"/>
        </w:rPr>
        <w:t xml:space="preserve">and </w:t>
      </w:r>
      <w:r w:rsidR="00CF4157" w:rsidRPr="0034215D">
        <w:rPr>
          <w:rFonts w:ascii="Arial" w:hAnsi="Arial" w:cs="Arial"/>
        </w:rPr>
        <w:t>we took</w:t>
      </w:r>
      <w:r w:rsidR="00634C6D" w:rsidRPr="0034215D">
        <w:rPr>
          <w:rFonts w:ascii="Arial" w:hAnsi="Arial" w:cs="Arial"/>
        </w:rPr>
        <w:t xml:space="preserve"> significant steps to strengthen </w:t>
      </w:r>
      <w:r w:rsidR="003B5168" w:rsidRPr="0034215D">
        <w:rPr>
          <w:rFonts w:ascii="Arial" w:hAnsi="Arial" w:cs="Arial"/>
        </w:rPr>
        <w:t>our fortress</w:t>
      </w:r>
      <w:r w:rsidR="00634C6D" w:rsidRPr="0034215D">
        <w:rPr>
          <w:rFonts w:ascii="Arial" w:hAnsi="Arial" w:cs="Arial"/>
        </w:rPr>
        <w:t xml:space="preserve"> balance sheet</w:t>
      </w:r>
      <w:r w:rsidRPr="0034215D">
        <w:rPr>
          <w:rFonts w:ascii="Arial" w:hAnsi="Arial" w:cs="Arial"/>
        </w:rPr>
        <w:t xml:space="preserve">,” </w:t>
      </w:r>
      <w:r w:rsidR="00FC2AB3" w:rsidRPr="0034215D">
        <w:rPr>
          <w:rFonts w:ascii="Arial" w:hAnsi="Arial" w:cs="Arial"/>
        </w:rPr>
        <w:t xml:space="preserve">said Dan </w:t>
      </w:r>
      <w:proofErr w:type="spellStart"/>
      <w:r w:rsidR="00FC2AB3" w:rsidRPr="0034215D">
        <w:rPr>
          <w:rFonts w:ascii="Arial" w:hAnsi="Arial" w:cs="Arial"/>
        </w:rPr>
        <w:t>Ammann</w:t>
      </w:r>
      <w:proofErr w:type="spellEnd"/>
      <w:r w:rsidR="00FC2AB3" w:rsidRPr="0034215D">
        <w:rPr>
          <w:rFonts w:ascii="Arial" w:hAnsi="Arial" w:cs="Arial"/>
        </w:rPr>
        <w:t xml:space="preserve">, senior vice president and CFO. </w:t>
      </w:r>
      <w:r w:rsidRPr="0034215D">
        <w:rPr>
          <w:rFonts w:ascii="Arial" w:hAnsi="Arial" w:cs="Arial"/>
        </w:rPr>
        <w:t>“</w:t>
      </w:r>
      <w:r w:rsidR="008B3114" w:rsidRPr="0034215D">
        <w:rPr>
          <w:rFonts w:ascii="Arial" w:hAnsi="Arial" w:cs="Arial"/>
        </w:rPr>
        <w:t xml:space="preserve">Our aggressive </w:t>
      </w:r>
      <w:r w:rsidR="000B75B9" w:rsidRPr="0034215D">
        <w:rPr>
          <w:rFonts w:ascii="Arial" w:hAnsi="Arial" w:cs="Arial"/>
        </w:rPr>
        <w:t xml:space="preserve">vehicle launch cadence and </w:t>
      </w:r>
      <w:r w:rsidR="001F4BF5" w:rsidRPr="0034215D">
        <w:rPr>
          <w:rFonts w:ascii="Arial" w:hAnsi="Arial" w:cs="Arial"/>
        </w:rPr>
        <w:t>focus on</w:t>
      </w:r>
      <w:r w:rsidR="000B75B9" w:rsidRPr="0034215D">
        <w:rPr>
          <w:rFonts w:ascii="Arial" w:hAnsi="Arial" w:cs="Arial"/>
        </w:rPr>
        <w:t xml:space="preserve"> improv</w:t>
      </w:r>
      <w:r w:rsidR="001F4BF5" w:rsidRPr="0034215D">
        <w:rPr>
          <w:rFonts w:ascii="Arial" w:hAnsi="Arial" w:cs="Arial"/>
        </w:rPr>
        <w:t>ing</w:t>
      </w:r>
      <w:r w:rsidR="000B75B9" w:rsidRPr="0034215D">
        <w:rPr>
          <w:rFonts w:ascii="Arial" w:hAnsi="Arial" w:cs="Arial"/>
        </w:rPr>
        <w:t xml:space="preserve"> the topline</w:t>
      </w:r>
      <w:r w:rsidR="008B3114" w:rsidRPr="0034215D">
        <w:rPr>
          <w:rFonts w:ascii="Arial" w:hAnsi="Arial" w:cs="Arial"/>
        </w:rPr>
        <w:t xml:space="preserve">, </w:t>
      </w:r>
      <w:r w:rsidR="000B75B9" w:rsidRPr="0034215D">
        <w:rPr>
          <w:rFonts w:ascii="Arial" w:hAnsi="Arial" w:cs="Arial"/>
        </w:rPr>
        <w:t xml:space="preserve">combined with </w:t>
      </w:r>
      <w:r w:rsidRPr="0034215D">
        <w:rPr>
          <w:rFonts w:ascii="Arial" w:hAnsi="Arial" w:cs="Arial"/>
        </w:rPr>
        <w:t xml:space="preserve">rigorous cost discipline will help us continue to generate </w:t>
      </w:r>
      <w:r w:rsidR="001F4BF5" w:rsidRPr="0034215D">
        <w:rPr>
          <w:rFonts w:ascii="Arial" w:hAnsi="Arial" w:cs="Arial"/>
        </w:rPr>
        <w:t>strong business results moving forward</w:t>
      </w:r>
      <w:r w:rsidR="000B75B9" w:rsidRPr="0034215D">
        <w:rPr>
          <w:rFonts w:ascii="Arial" w:hAnsi="Arial" w:cs="Arial"/>
        </w:rPr>
        <w:t>.</w:t>
      </w:r>
      <w:r w:rsidRPr="0034215D">
        <w:rPr>
          <w:rFonts w:ascii="Arial" w:hAnsi="Arial" w:cs="Arial"/>
        </w:rPr>
        <w:t>”</w:t>
      </w:r>
    </w:p>
    <w:p w14:paraId="7EF55AD4" w14:textId="77777777" w:rsidR="0011690B" w:rsidRDefault="0011690B" w:rsidP="00FC2AB3">
      <w:pPr>
        <w:tabs>
          <w:tab w:val="left" w:pos="9540"/>
        </w:tabs>
        <w:autoSpaceDE w:val="0"/>
        <w:autoSpaceDN w:val="0"/>
        <w:adjustRightInd w:val="0"/>
        <w:spacing w:after="0" w:line="240" w:lineRule="auto"/>
        <w:ind w:right="-360"/>
        <w:rPr>
          <w:rFonts w:ascii="Arial" w:hAnsi="Arial" w:cs="Arial"/>
        </w:rPr>
      </w:pPr>
    </w:p>
    <w:p w14:paraId="25AA7D4A" w14:textId="77777777" w:rsidR="00C51847" w:rsidRPr="00FE7DF2" w:rsidRDefault="00C51847" w:rsidP="00CD000B">
      <w:pPr>
        <w:autoSpaceDE w:val="0"/>
        <w:autoSpaceDN w:val="0"/>
        <w:adjustRightInd w:val="0"/>
        <w:spacing w:after="0" w:line="240" w:lineRule="auto"/>
        <w:rPr>
          <w:rFonts w:ascii="Arial" w:hAnsi="Arial" w:cs="Arial"/>
          <w:sz w:val="20"/>
          <w:szCs w:val="20"/>
        </w:rPr>
      </w:pPr>
      <w:r w:rsidRPr="00FE7DF2">
        <w:rPr>
          <w:rFonts w:ascii="Arial" w:hAnsi="Arial" w:cs="Arial"/>
          <w:b/>
          <w:sz w:val="20"/>
          <w:szCs w:val="20"/>
        </w:rPr>
        <w:t>General Motors Co.</w:t>
      </w:r>
      <w:r w:rsidRPr="00FE7DF2">
        <w:rPr>
          <w:rFonts w:ascii="Arial" w:hAnsi="Arial" w:cs="Arial"/>
          <w:sz w:val="20"/>
          <w:szCs w:val="20"/>
        </w:rPr>
        <w:t xml:space="preserve"> (NYSE:GM, TSX: GMM) and its partners produce vehicles in 30 countries, and the company has leadership positions in the world's largest and fastest-growing automotive markets.  GM’s brands include Chevrolet and Cadillac, as well as </w:t>
      </w:r>
      <w:proofErr w:type="spellStart"/>
      <w:r w:rsidRPr="00FE7DF2">
        <w:rPr>
          <w:rFonts w:ascii="Arial" w:hAnsi="Arial" w:cs="Arial"/>
          <w:sz w:val="20"/>
          <w:szCs w:val="20"/>
        </w:rPr>
        <w:t>Baojun</w:t>
      </w:r>
      <w:proofErr w:type="spellEnd"/>
      <w:r w:rsidRPr="00FE7DF2">
        <w:rPr>
          <w:rFonts w:ascii="Arial" w:hAnsi="Arial" w:cs="Arial"/>
          <w:sz w:val="20"/>
          <w:szCs w:val="20"/>
        </w:rPr>
        <w:t xml:space="preserve">, Buick, GMC, Holden, Isuzu, Daewoo, </w:t>
      </w:r>
      <w:proofErr w:type="spellStart"/>
      <w:r w:rsidRPr="00FE7DF2">
        <w:rPr>
          <w:rFonts w:ascii="Arial" w:hAnsi="Arial" w:cs="Arial"/>
          <w:sz w:val="20"/>
          <w:szCs w:val="20"/>
        </w:rPr>
        <w:t>Jiefang</w:t>
      </w:r>
      <w:proofErr w:type="spellEnd"/>
      <w:r w:rsidRPr="00FE7DF2">
        <w:rPr>
          <w:rFonts w:ascii="Arial" w:hAnsi="Arial" w:cs="Arial"/>
          <w:sz w:val="20"/>
          <w:szCs w:val="20"/>
        </w:rPr>
        <w:t xml:space="preserve">, Opel, Vauxhall and </w:t>
      </w:r>
      <w:proofErr w:type="spellStart"/>
      <w:r w:rsidRPr="00FE7DF2">
        <w:rPr>
          <w:rFonts w:ascii="Arial" w:hAnsi="Arial" w:cs="Arial"/>
          <w:sz w:val="20"/>
          <w:szCs w:val="20"/>
        </w:rPr>
        <w:t>Wuling</w:t>
      </w:r>
      <w:proofErr w:type="spellEnd"/>
      <w:r w:rsidRPr="00FE7DF2">
        <w:rPr>
          <w:rFonts w:ascii="Arial" w:hAnsi="Arial" w:cs="Arial"/>
          <w:sz w:val="20"/>
          <w:szCs w:val="20"/>
        </w:rPr>
        <w:t xml:space="preserve">. More information on the company and its subsidiaries, including OnStar, a global leader in vehicle safety, security and information services, can be found at </w:t>
      </w:r>
      <w:hyperlink r:id="rId8" w:history="1">
        <w:r w:rsidRPr="00FE7DF2">
          <w:rPr>
            <w:rFonts w:ascii="Arial" w:hAnsi="Arial" w:cs="Arial"/>
            <w:sz w:val="20"/>
            <w:szCs w:val="20"/>
          </w:rPr>
          <w:t>http://www.gm.com</w:t>
        </w:r>
      </w:hyperlink>
      <w:r w:rsidRPr="00FE7DF2">
        <w:rPr>
          <w:rFonts w:ascii="Arial" w:hAnsi="Arial" w:cs="Arial"/>
          <w:sz w:val="20"/>
          <w:szCs w:val="20"/>
        </w:rPr>
        <w:t>.</w:t>
      </w:r>
    </w:p>
    <w:p w14:paraId="1895468B" w14:textId="77777777" w:rsidR="00C51847" w:rsidRPr="00FE7DF2" w:rsidRDefault="00C51847" w:rsidP="00502887">
      <w:pPr>
        <w:pStyle w:val="NoSpacing"/>
        <w:rPr>
          <w:rFonts w:ascii="Arial" w:hAnsi="Arial" w:cs="Arial"/>
          <w:sz w:val="20"/>
          <w:szCs w:val="20"/>
        </w:rPr>
      </w:pPr>
    </w:p>
    <w:p w14:paraId="31C000FD" w14:textId="77777777" w:rsidR="00C51847" w:rsidRPr="00FE7DF2" w:rsidRDefault="00C51847" w:rsidP="00502887">
      <w:pPr>
        <w:pStyle w:val="NoSpacing"/>
        <w:rPr>
          <w:rFonts w:ascii="Arial" w:hAnsi="Arial" w:cs="Arial"/>
          <w:sz w:val="20"/>
          <w:szCs w:val="20"/>
        </w:rPr>
        <w:sectPr w:rsidR="00C51847" w:rsidRPr="00FE7DF2" w:rsidSect="00240B10">
          <w:headerReference w:type="default"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pPr>
    </w:p>
    <w:p w14:paraId="2DF2B01F" w14:textId="77777777" w:rsidR="00C51847" w:rsidRPr="00FE7DF2" w:rsidRDefault="00C51847" w:rsidP="00854943">
      <w:pPr>
        <w:pStyle w:val="NoSpacing"/>
        <w:rPr>
          <w:rFonts w:ascii="Arial" w:hAnsi="Arial" w:cs="Arial"/>
          <w:b/>
          <w:sz w:val="20"/>
          <w:szCs w:val="20"/>
        </w:rPr>
      </w:pPr>
    </w:p>
    <w:p w14:paraId="22B847EF" w14:textId="77777777" w:rsidR="00C51847" w:rsidRPr="00FE7DF2" w:rsidRDefault="00C51847" w:rsidP="002131E5">
      <w:pPr>
        <w:pStyle w:val="NoSpacing"/>
        <w:rPr>
          <w:rFonts w:ascii="Arial" w:hAnsi="Arial" w:cs="Arial"/>
          <w:b/>
          <w:sz w:val="20"/>
          <w:szCs w:val="20"/>
        </w:rPr>
      </w:pPr>
      <w:bookmarkStart w:id="0" w:name="_GoBack"/>
      <w:bookmarkEnd w:id="0"/>
      <w:r w:rsidRPr="00FE7DF2">
        <w:rPr>
          <w:rFonts w:ascii="Arial" w:hAnsi="Arial" w:cs="Arial"/>
          <w:b/>
          <w:sz w:val="20"/>
          <w:szCs w:val="20"/>
        </w:rPr>
        <w:t>Forward-Looking Statements</w:t>
      </w:r>
    </w:p>
    <w:p w14:paraId="12AC5599" w14:textId="157B40CA" w:rsidR="00C51847" w:rsidRPr="006B2D50" w:rsidRDefault="00C51847" w:rsidP="00854943">
      <w:pPr>
        <w:pStyle w:val="NoSpacing"/>
        <w:rPr>
          <w:rFonts w:ascii="Arial" w:hAnsi="Arial" w:cs="Arial"/>
          <w:sz w:val="20"/>
          <w:szCs w:val="20"/>
        </w:rPr>
      </w:pPr>
      <w:r w:rsidRPr="006B2D50">
        <w:rPr>
          <w:rFonts w:ascii="Arial" w:hAnsi="Arial" w:cs="Arial"/>
          <w:sz w:val="20"/>
          <w:szCs w:val="20"/>
        </w:rPr>
        <w:t xml:space="preserve">In this press release and in related comments by our management, our use of the words “expect,” “anticipate,” “possible,” “potential,” “target,” “believe,” “commit,” “intend,” “continue,” “may,” “would,” “could,” “should,” “project,” “projected,” “positioned” or similar expressions is intended to identify forward-looking statements that represent our current judgment about possible future events. We believe these judgments are reasonable, but these statements are not guarantees of any events or financial results, and our actual results may differ materially due to a variety of important factors. Among other items, such factors might include: our ability to realize production efficiencies and to achieve reductions in costs as a result of our restructuring initiatives and labor modifications; our ability to maintain quality control over our vehicles and avoid material vehicle recalls; our ability to maintain adequate financing sources, including as required to fund our planned significant investment in new technology; </w:t>
      </w:r>
      <w:r w:rsidR="006B2D50" w:rsidRPr="006B2D50">
        <w:rPr>
          <w:rFonts w:ascii="Arial" w:hAnsi="Arial" w:cs="Arial"/>
          <w:iCs/>
          <w:sz w:val="20"/>
          <w:szCs w:val="20"/>
        </w:rPr>
        <w:t xml:space="preserve">our ability to successfully integrate Ally </w:t>
      </w:r>
      <w:proofErr w:type="spellStart"/>
      <w:r w:rsidR="006B2D50" w:rsidRPr="006B2D50">
        <w:rPr>
          <w:rFonts w:ascii="Arial" w:hAnsi="Arial" w:cs="Arial"/>
          <w:iCs/>
          <w:sz w:val="20"/>
          <w:szCs w:val="20"/>
        </w:rPr>
        <w:t>Financial’s</w:t>
      </w:r>
      <w:proofErr w:type="spellEnd"/>
      <w:r w:rsidR="006B2D50" w:rsidRPr="006B2D50">
        <w:rPr>
          <w:rFonts w:ascii="Arial" w:hAnsi="Arial" w:cs="Arial"/>
          <w:iCs/>
          <w:sz w:val="20"/>
          <w:szCs w:val="20"/>
        </w:rPr>
        <w:t xml:space="preserve"> international operations; </w:t>
      </w:r>
      <w:r w:rsidRPr="006B2D50">
        <w:rPr>
          <w:rFonts w:ascii="Arial" w:hAnsi="Arial" w:cs="Arial"/>
          <w:sz w:val="20"/>
          <w:szCs w:val="20"/>
        </w:rPr>
        <w:t xml:space="preserve">the ability of our suppliers to timely deliver parts, components and systems; our ability to realize successful vehicle applications of new technology; </w:t>
      </w:r>
      <w:r w:rsidR="006B2D50" w:rsidRPr="006B2D50">
        <w:rPr>
          <w:rFonts w:ascii="Arial" w:hAnsi="Arial" w:cs="Arial"/>
          <w:iCs/>
          <w:sz w:val="20"/>
          <w:szCs w:val="20"/>
        </w:rPr>
        <w:t xml:space="preserve">overall strength and stability of our markets, particularly Europe; </w:t>
      </w:r>
      <w:r w:rsidRPr="006B2D50">
        <w:rPr>
          <w:rFonts w:ascii="Arial" w:hAnsi="Arial" w:cs="Arial"/>
          <w:sz w:val="20"/>
          <w:szCs w:val="20"/>
        </w:rPr>
        <w:t>and our ability to continue to attract new customers, particularly for our new products. GM's most recent annual report on Form 10-K provides information about these and other factors, which we may revise or supplement in future reports to the SEC.</w:t>
      </w:r>
      <w:r w:rsidRPr="006B2D50" w:rsidDel="00875E5C">
        <w:rPr>
          <w:rFonts w:ascii="Arial" w:hAnsi="Arial" w:cs="Arial"/>
          <w:sz w:val="20"/>
          <w:szCs w:val="20"/>
        </w:rPr>
        <w:t xml:space="preserve"> </w:t>
      </w:r>
    </w:p>
    <w:sectPr w:rsidR="00C51847" w:rsidRPr="006B2D50" w:rsidSect="00333345">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90DE6" w14:textId="77777777" w:rsidR="00A027F1" w:rsidRDefault="00A027F1" w:rsidP="00BD08F1">
      <w:pPr>
        <w:spacing w:after="0" w:line="240" w:lineRule="auto"/>
      </w:pPr>
      <w:r>
        <w:separator/>
      </w:r>
    </w:p>
  </w:endnote>
  <w:endnote w:type="continuationSeparator" w:id="0">
    <w:p w14:paraId="29A7BAA2" w14:textId="77777777" w:rsidR="00A027F1" w:rsidRDefault="00A027F1" w:rsidP="00BD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27EA9" w14:textId="77777777" w:rsidR="00627BAE" w:rsidRDefault="00EF3C00">
    <w:pPr>
      <w:pStyle w:val="Footer"/>
      <w:jc w:val="right"/>
    </w:pPr>
    <w:r>
      <w:fldChar w:fldCharType="begin"/>
    </w:r>
    <w:r w:rsidR="00627BAE">
      <w:instrText xml:space="preserve"> PAGE   \* MERGEFORMAT </w:instrText>
    </w:r>
    <w:r>
      <w:fldChar w:fldCharType="separate"/>
    </w:r>
    <w:r w:rsidR="00D84FDF">
      <w:rPr>
        <w:noProof/>
      </w:rPr>
      <w:t>3</w:t>
    </w:r>
    <w:r>
      <w:rPr>
        <w:noProof/>
      </w:rPr>
      <w:fldChar w:fldCharType="end"/>
    </w:r>
  </w:p>
  <w:p w14:paraId="5D31F3E8" w14:textId="77777777" w:rsidR="00627BAE" w:rsidRDefault="00627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9901" w14:textId="77777777" w:rsidR="00027F5C" w:rsidRDefault="00053598">
    <w:pPr>
      <w:pStyle w:val="Footer"/>
    </w:pPr>
    <w:fldSimple w:instr=" FILENAME   \* MERGEFORMAT ">
      <w:r w:rsidR="00565B51">
        <w:rPr>
          <w:noProof/>
        </w:rPr>
        <w:t>Q4 GM Earnings Release 021313 1800ET (Final).docx</w:t>
      </w:r>
    </w:fldSimple>
  </w:p>
  <w:p w14:paraId="6D9A8DB5" w14:textId="77777777" w:rsidR="009F73A4" w:rsidRDefault="009F7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3C6EE" w14:textId="77777777" w:rsidR="00A027F1" w:rsidRDefault="00A027F1" w:rsidP="00BD08F1">
      <w:pPr>
        <w:spacing w:after="0" w:line="240" w:lineRule="auto"/>
      </w:pPr>
      <w:r>
        <w:separator/>
      </w:r>
    </w:p>
  </w:footnote>
  <w:footnote w:type="continuationSeparator" w:id="0">
    <w:p w14:paraId="7DCFEE2E" w14:textId="77777777" w:rsidR="00A027F1" w:rsidRDefault="00A027F1" w:rsidP="00BD0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C7D3B" w14:textId="77777777" w:rsidR="00627BAE" w:rsidRDefault="00627BAE" w:rsidP="00240B10">
    <w:pPr>
      <w:pStyle w:val="Header"/>
    </w:pPr>
  </w:p>
  <w:p w14:paraId="4B7D33BF" w14:textId="77777777" w:rsidR="00627BAE" w:rsidRDefault="00627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8BFF" w14:textId="45CE8BA6" w:rsidR="00627BAE" w:rsidRDefault="00627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C04"/>
    <w:multiLevelType w:val="hybridMultilevel"/>
    <w:tmpl w:val="F4D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330D"/>
    <w:multiLevelType w:val="hybridMultilevel"/>
    <w:tmpl w:val="6B646D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C0C798B"/>
    <w:multiLevelType w:val="hybridMultilevel"/>
    <w:tmpl w:val="582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473AD"/>
    <w:multiLevelType w:val="hybridMultilevel"/>
    <w:tmpl w:val="0DEEE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9B4248"/>
    <w:multiLevelType w:val="hybridMultilevel"/>
    <w:tmpl w:val="9ADC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177CF"/>
    <w:multiLevelType w:val="hybridMultilevel"/>
    <w:tmpl w:val="1344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15D42"/>
    <w:multiLevelType w:val="hybridMultilevel"/>
    <w:tmpl w:val="32A8DD96"/>
    <w:lvl w:ilvl="0" w:tplc="F126EF70">
      <w:start w:val="1"/>
      <w:numFmt w:val="bullet"/>
      <w:lvlText w:val=""/>
      <w:lvlJc w:val="left"/>
      <w:pPr>
        <w:ind w:left="1845" w:hanging="360"/>
      </w:pPr>
      <w:rPr>
        <w:rFonts w:ascii="Symbol" w:eastAsia="Times New Roman" w:hAnsi="Symbol" w:hint="default"/>
      </w:rPr>
    </w:lvl>
    <w:lvl w:ilvl="1" w:tplc="04090003" w:tentative="1">
      <w:start w:val="1"/>
      <w:numFmt w:val="bullet"/>
      <w:lvlText w:val="o"/>
      <w:lvlJc w:val="left"/>
      <w:pPr>
        <w:ind w:left="2565" w:hanging="360"/>
      </w:pPr>
      <w:rPr>
        <w:rFonts w:ascii="Courier New" w:hAnsi="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nsid w:val="567F0DFF"/>
    <w:multiLevelType w:val="hybridMultilevel"/>
    <w:tmpl w:val="9994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6512F"/>
    <w:multiLevelType w:val="hybridMultilevel"/>
    <w:tmpl w:val="AD922ED8"/>
    <w:lvl w:ilvl="0" w:tplc="C7F2155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83A35"/>
    <w:multiLevelType w:val="hybridMultilevel"/>
    <w:tmpl w:val="7CE2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2556A5"/>
    <w:multiLevelType w:val="hybridMultilevel"/>
    <w:tmpl w:val="87DE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1A6830"/>
    <w:multiLevelType w:val="hybridMultilevel"/>
    <w:tmpl w:val="8DB25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E53292"/>
    <w:multiLevelType w:val="hybridMultilevel"/>
    <w:tmpl w:val="7B6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20DA4"/>
    <w:multiLevelType w:val="hybridMultilevel"/>
    <w:tmpl w:val="855CB6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DFF160A"/>
    <w:multiLevelType w:val="hybridMultilevel"/>
    <w:tmpl w:val="23A4A46E"/>
    <w:lvl w:ilvl="0" w:tplc="721ACAA2">
      <w:start w:val="1"/>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E164C1"/>
    <w:multiLevelType w:val="hybridMultilevel"/>
    <w:tmpl w:val="4FFC0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8"/>
  </w:num>
  <w:num w:numId="6">
    <w:abstractNumId w:val="14"/>
  </w:num>
  <w:num w:numId="7">
    <w:abstractNumId w:val="1"/>
  </w:num>
  <w:num w:numId="8">
    <w:abstractNumId w:val="13"/>
  </w:num>
  <w:num w:numId="9">
    <w:abstractNumId w:val="6"/>
  </w:num>
  <w:num w:numId="10">
    <w:abstractNumId w:val="4"/>
  </w:num>
  <w:num w:numId="11">
    <w:abstractNumId w:val="0"/>
  </w:num>
  <w:num w:numId="12">
    <w:abstractNumId w:val="3"/>
  </w:num>
  <w:num w:numId="13">
    <w:abstractNumId w:val="9"/>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83"/>
    <w:rsid w:val="0000523F"/>
    <w:rsid w:val="00005842"/>
    <w:rsid w:val="000123A5"/>
    <w:rsid w:val="0001302D"/>
    <w:rsid w:val="00013EB6"/>
    <w:rsid w:val="00014C67"/>
    <w:rsid w:val="00014D17"/>
    <w:rsid w:val="0001732E"/>
    <w:rsid w:val="0002559C"/>
    <w:rsid w:val="00026E10"/>
    <w:rsid w:val="00027F5C"/>
    <w:rsid w:val="000304E5"/>
    <w:rsid w:val="00030905"/>
    <w:rsid w:val="000410F7"/>
    <w:rsid w:val="00041FBC"/>
    <w:rsid w:val="00042000"/>
    <w:rsid w:val="00046FF3"/>
    <w:rsid w:val="00050ABA"/>
    <w:rsid w:val="00053598"/>
    <w:rsid w:val="00056648"/>
    <w:rsid w:val="00060458"/>
    <w:rsid w:val="000652E8"/>
    <w:rsid w:val="000665A5"/>
    <w:rsid w:val="00067F9C"/>
    <w:rsid w:val="00070808"/>
    <w:rsid w:val="000708FE"/>
    <w:rsid w:val="000776EF"/>
    <w:rsid w:val="000814E3"/>
    <w:rsid w:val="00082BBA"/>
    <w:rsid w:val="00082D18"/>
    <w:rsid w:val="00086FC9"/>
    <w:rsid w:val="0009476A"/>
    <w:rsid w:val="00094DC1"/>
    <w:rsid w:val="00096918"/>
    <w:rsid w:val="000A1861"/>
    <w:rsid w:val="000A3A48"/>
    <w:rsid w:val="000B1962"/>
    <w:rsid w:val="000B2117"/>
    <w:rsid w:val="000B360C"/>
    <w:rsid w:val="000B609A"/>
    <w:rsid w:val="000B75B9"/>
    <w:rsid w:val="000C348C"/>
    <w:rsid w:val="000C7305"/>
    <w:rsid w:val="000D0B0A"/>
    <w:rsid w:val="000D10A5"/>
    <w:rsid w:val="000D50F6"/>
    <w:rsid w:val="000D59C3"/>
    <w:rsid w:val="000E20B3"/>
    <w:rsid w:val="000E2416"/>
    <w:rsid w:val="000E2A10"/>
    <w:rsid w:val="000E5866"/>
    <w:rsid w:val="000E6A26"/>
    <w:rsid w:val="000F0368"/>
    <w:rsid w:val="000F3839"/>
    <w:rsid w:val="00101299"/>
    <w:rsid w:val="001053E5"/>
    <w:rsid w:val="001069F9"/>
    <w:rsid w:val="00111DAD"/>
    <w:rsid w:val="0011253C"/>
    <w:rsid w:val="001128E0"/>
    <w:rsid w:val="00115E59"/>
    <w:rsid w:val="0011690B"/>
    <w:rsid w:val="0012358F"/>
    <w:rsid w:val="00126E11"/>
    <w:rsid w:val="0013714A"/>
    <w:rsid w:val="00141C57"/>
    <w:rsid w:val="0014250F"/>
    <w:rsid w:val="00142B20"/>
    <w:rsid w:val="001444FA"/>
    <w:rsid w:val="00144BD8"/>
    <w:rsid w:val="00146B00"/>
    <w:rsid w:val="0014730F"/>
    <w:rsid w:val="00151924"/>
    <w:rsid w:val="0015269E"/>
    <w:rsid w:val="00156DA9"/>
    <w:rsid w:val="00161CA2"/>
    <w:rsid w:val="00163B89"/>
    <w:rsid w:val="00177BBD"/>
    <w:rsid w:val="00182EA7"/>
    <w:rsid w:val="00183528"/>
    <w:rsid w:val="001878BF"/>
    <w:rsid w:val="00187BA0"/>
    <w:rsid w:val="00192C47"/>
    <w:rsid w:val="00192E5E"/>
    <w:rsid w:val="001A0013"/>
    <w:rsid w:val="001A3D1C"/>
    <w:rsid w:val="001A76EB"/>
    <w:rsid w:val="001B3A5E"/>
    <w:rsid w:val="001B3F57"/>
    <w:rsid w:val="001B5932"/>
    <w:rsid w:val="001C05E9"/>
    <w:rsid w:val="001C16D9"/>
    <w:rsid w:val="001C20C8"/>
    <w:rsid w:val="001C231A"/>
    <w:rsid w:val="001C6796"/>
    <w:rsid w:val="001C6CF8"/>
    <w:rsid w:val="001D272E"/>
    <w:rsid w:val="001D2886"/>
    <w:rsid w:val="001D322A"/>
    <w:rsid w:val="001D5906"/>
    <w:rsid w:val="001D5BA7"/>
    <w:rsid w:val="001F1D4F"/>
    <w:rsid w:val="001F3DA8"/>
    <w:rsid w:val="001F408A"/>
    <w:rsid w:val="001F4BF5"/>
    <w:rsid w:val="001F6750"/>
    <w:rsid w:val="001F6CB0"/>
    <w:rsid w:val="001F748A"/>
    <w:rsid w:val="001F7D6B"/>
    <w:rsid w:val="001F7E6B"/>
    <w:rsid w:val="002000EB"/>
    <w:rsid w:val="00202A48"/>
    <w:rsid w:val="002041A1"/>
    <w:rsid w:val="00207964"/>
    <w:rsid w:val="00207CF8"/>
    <w:rsid w:val="002131E5"/>
    <w:rsid w:val="002172C0"/>
    <w:rsid w:val="002226FD"/>
    <w:rsid w:val="00230DDA"/>
    <w:rsid w:val="00231877"/>
    <w:rsid w:val="00232B6D"/>
    <w:rsid w:val="00235EDA"/>
    <w:rsid w:val="00237978"/>
    <w:rsid w:val="00237B48"/>
    <w:rsid w:val="00240B10"/>
    <w:rsid w:val="00245D8E"/>
    <w:rsid w:val="00247890"/>
    <w:rsid w:val="002513D8"/>
    <w:rsid w:val="002514F5"/>
    <w:rsid w:val="00251EF9"/>
    <w:rsid w:val="002553AB"/>
    <w:rsid w:val="00271027"/>
    <w:rsid w:val="002722D6"/>
    <w:rsid w:val="00272A49"/>
    <w:rsid w:val="00283D0E"/>
    <w:rsid w:val="00284AE1"/>
    <w:rsid w:val="00286ADB"/>
    <w:rsid w:val="002870EE"/>
    <w:rsid w:val="00287C08"/>
    <w:rsid w:val="00294B2C"/>
    <w:rsid w:val="0029542A"/>
    <w:rsid w:val="002A0043"/>
    <w:rsid w:val="002A1074"/>
    <w:rsid w:val="002A4214"/>
    <w:rsid w:val="002A4A14"/>
    <w:rsid w:val="002A517A"/>
    <w:rsid w:val="002A6819"/>
    <w:rsid w:val="002B1F9D"/>
    <w:rsid w:val="002C2705"/>
    <w:rsid w:val="002C4A66"/>
    <w:rsid w:val="002C6654"/>
    <w:rsid w:val="002D4B28"/>
    <w:rsid w:val="002E3B38"/>
    <w:rsid w:val="002E56A0"/>
    <w:rsid w:val="002F4E79"/>
    <w:rsid w:val="002F5E2B"/>
    <w:rsid w:val="00300B3A"/>
    <w:rsid w:val="003062A1"/>
    <w:rsid w:val="003067F6"/>
    <w:rsid w:val="00307CA6"/>
    <w:rsid w:val="00311A2F"/>
    <w:rsid w:val="003132C7"/>
    <w:rsid w:val="00314084"/>
    <w:rsid w:val="00314A77"/>
    <w:rsid w:val="00323710"/>
    <w:rsid w:val="003255B6"/>
    <w:rsid w:val="003332F6"/>
    <w:rsid w:val="00333345"/>
    <w:rsid w:val="003339D5"/>
    <w:rsid w:val="00334984"/>
    <w:rsid w:val="00337B52"/>
    <w:rsid w:val="0034215D"/>
    <w:rsid w:val="0035074D"/>
    <w:rsid w:val="00354D69"/>
    <w:rsid w:val="00356481"/>
    <w:rsid w:val="003565BA"/>
    <w:rsid w:val="003579F0"/>
    <w:rsid w:val="0036394E"/>
    <w:rsid w:val="00365D90"/>
    <w:rsid w:val="003726FB"/>
    <w:rsid w:val="00374135"/>
    <w:rsid w:val="0037485D"/>
    <w:rsid w:val="00383FB9"/>
    <w:rsid w:val="00386C74"/>
    <w:rsid w:val="00390252"/>
    <w:rsid w:val="00393979"/>
    <w:rsid w:val="00395BFD"/>
    <w:rsid w:val="003A0706"/>
    <w:rsid w:val="003B36FE"/>
    <w:rsid w:val="003B5168"/>
    <w:rsid w:val="003B709C"/>
    <w:rsid w:val="003C7819"/>
    <w:rsid w:val="003C7E0A"/>
    <w:rsid w:val="003D2178"/>
    <w:rsid w:val="003D4778"/>
    <w:rsid w:val="003D5CF7"/>
    <w:rsid w:val="003E1200"/>
    <w:rsid w:val="003E25DC"/>
    <w:rsid w:val="003E42F5"/>
    <w:rsid w:val="003E4B9E"/>
    <w:rsid w:val="003E631A"/>
    <w:rsid w:val="003E6DD5"/>
    <w:rsid w:val="003E7087"/>
    <w:rsid w:val="003E7E18"/>
    <w:rsid w:val="003F02F3"/>
    <w:rsid w:val="003F1605"/>
    <w:rsid w:val="003F332B"/>
    <w:rsid w:val="003F37E8"/>
    <w:rsid w:val="00401D09"/>
    <w:rsid w:val="00406538"/>
    <w:rsid w:val="00406C21"/>
    <w:rsid w:val="00406FB3"/>
    <w:rsid w:val="00413ACE"/>
    <w:rsid w:val="00416276"/>
    <w:rsid w:val="00416E2F"/>
    <w:rsid w:val="004230F5"/>
    <w:rsid w:val="00425659"/>
    <w:rsid w:val="00430AFD"/>
    <w:rsid w:val="00437510"/>
    <w:rsid w:val="004375EB"/>
    <w:rsid w:val="004377F7"/>
    <w:rsid w:val="00441462"/>
    <w:rsid w:val="00441EE2"/>
    <w:rsid w:val="00443A9D"/>
    <w:rsid w:val="00443E98"/>
    <w:rsid w:val="0044728C"/>
    <w:rsid w:val="00450F50"/>
    <w:rsid w:val="00452AF5"/>
    <w:rsid w:val="00452E1B"/>
    <w:rsid w:val="00454199"/>
    <w:rsid w:val="00454B70"/>
    <w:rsid w:val="00456731"/>
    <w:rsid w:val="00464C61"/>
    <w:rsid w:val="00465133"/>
    <w:rsid w:val="00471F19"/>
    <w:rsid w:val="004771BC"/>
    <w:rsid w:val="00483A7D"/>
    <w:rsid w:val="00483ACD"/>
    <w:rsid w:val="004849E0"/>
    <w:rsid w:val="0048524C"/>
    <w:rsid w:val="00492847"/>
    <w:rsid w:val="004955E9"/>
    <w:rsid w:val="004C02A3"/>
    <w:rsid w:val="004D1363"/>
    <w:rsid w:val="004D505B"/>
    <w:rsid w:val="004D63FC"/>
    <w:rsid w:val="004D79E0"/>
    <w:rsid w:val="004E2174"/>
    <w:rsid w:val="004E2186"/>
    <w:rsid w:val="004E2582"/>
    <w:rsid w:val="004E2F76"/>
    <w:rsid w:val="004E30E2"/>
    <w:rsid w:val="004E37D4"/>
    <w:rsid w:val="004E5BAE"/>
    <w:rsid w:val="004E64EF"/>
    <w:rsid w:val="004E717E"/>
    <w:rsid w:val="004E7B08"/>
    <w:rsid w:val="004F4E7F"/>
    <w:rsid w:val="004F7246"/>
    <w:rsid w:val="004F7F45"/>
    <w:rsid w:val="00500821"/>
    <w:rsid w:val="00500B9C"/>
    <w:rsid w:val="00502887"/>
    <w:rsid w:val="005028D3"/>
    <w:rsid w:val="00504B1F"/>
    <w:rsid w:val="00510C67"/>
    <w:rsid w:val="00517BB8"/>
    <w:rsid w:val="00521752"/>
    <w:rsid w:val="00524B8F"/>
    <w:rsid w:val="0052521D"/>
    <w:rsid w:val="00527DA0"/>
    <w:rsid w:val="00530782"/>
    <w:rsid w:val="00530CED"/>
    <w:rsid w:val="00533963"/>
    <w:rsid w:val="00542205"/>
    <w:rsid w:val="00544CE1"/>
    <w:rsid w:val="005452D1"/>
    <w:rsid w:val="00545542"/>
    <w:rsid w:val="00545FDE"/>
    <w:rsid w:val="00546CFA"/>
    <w:rsid w:val="00547620"/>
    <w:rsid w:val="00551681"/>
    <w:rsid w:val="00552F3B"/>
    <w:rsid w:val="00554000"/>
    <w:rsid w:val="00560DF7"/>
    <w:rsid w:val="00564D12"/>
    <w:rsid w:val="00565B51"/>
    <w:rsid w:val="00566107"/>
    <w:rsid w:val="0056755F"/>
    <w:rsid w:val="00571C13"/>
    <w:rsid w:val="0057425A"/>
    <w:rsid w:val="005761EF"/>
    <w:rsid w:val="00576E9A"/>
    <w:rsid w:val="005779EB"/>
    <w:rsid w:val="00585680"/>
    <w:rsid w:val="00587878"/>
    <w:rsid w:val="005904FE"/>
    <w:rsid w:val="00594B68"/>
    <w:rsid w:val="005A11DC"/>
    <w:rsid w:val="005A12F0"/>
    <w:rsid w:val="005A3063"/>
    <w:rsid w:val="005A50A7"/>
    <w:rsid w:val="005A75DC"/>
    <w:rsid w:val="005B05A5"/>
    <w:rsid w:val="005B2156"/>
    <w:rsid w:val="005B6028"/>
    <w:rsid w:val="005B7775"/>
    <w:rsid w:val="005B7792"/>
    <w:rsid w:val="005B790C"/>
    <w:rsid w:val="005C3DBE"/>
    <w:rsid w:val="005C5437"/>
    <w:rsid w:val="005C5575"/>
    <w:rsid w:val="005D5B0E"/>
    <w:rsid w:val="005D6264"/>
    <w:rsid w:val="005D7820"/>
    <w:rsid w:val="005E0592"/>
    <w:rsid w:val="005E0942"/>
    <w:rsid w:val="005E2D16"/>
    <w:rsid w:val="005E6803"/>
    <w:rsid w:val="005E77D5"/>
    <w:rsid w:val="005F0416"/>
    <w:rsid w:val="005F0B43"/>
    <w:rsid w:val="005F14A8"/>
    <w:rsid w:val="005F47CD"/>
    <w:rsid w:val="005F47F5"/>
    <w:rsid w:val="005F5C01"/>
    <w:rsid w:val="005F684C"/>
    <w:rsid w:val="006018AA"/>
    <w:rsid w:val="00603A5C"/>
    <w:rsid w:val="0060498E"/>
    <w:rsid w:val="00607B70"/>
    <w:rsid w:val="0061340C"/>
    <w:rsid w:val="00614656"/>
    <w:rsid w:val="00615563"/>
    <w:rsid w:val="006201A9"/>
    <w:rsid w:val="006207AF"/>
    <w:rsid w:val="0062222C"/>
    <w:rsid w:val="00622E96"/>
    <w:rsid w:val="006260C9"/>
    <w:rsid w:val="0062707A"/>
    <w:rsid w:val="00627BAE"/>
    <w:rsid w:val="00634C6D"/>
    <w:rsid w:val="0063562A"/>
    <w:rsid w:val="006446B4"/>
    <w:rsid w:val="00651F4C"/>
    <w:rsid w:val="006538A1"/>
    <w:rsid w:val="00655942"/>
    <w:rsid w:val="00671398"/>
    <w:rsid w:val="00672144"/>
    <w:rsid w:val="00672315"/>
    <w:rsid w:val="0067247A"/>
    <w:rsid w:val="006747E1"/>
    <w:rsid w:val="00674B4F"/>
    <w:rsid w:val="00676E5E"/>
    <w:rsid w:val="00680633"/>
    <w:rsid w:val="00683290"/>
    <w:rsid w:val="00687B4A"/>
    <w:rsid w:val="006907A9"/>
    <w:rsid w:val="00691C49"/>
    <w:rsid w:val="00692353"/>
    <w:rsid w:val="00692A63"/>
    <w:rsid w:val="006930D1"/>
    <w:rsid w:val="00695C29"/>
    <w:rsid w:val="0069626F"/>
    <w:rsid w:val="006A31AC"/>
    <w:rsid w:val="006A4782"/>
    <w:rsid w:val="006A6DE7"/>
    <w:rsid w:val="006B15F0"/>
    <w:rsid w:val="006B2D50"/>
    <w:rsid w:val="006B5750"/>
    <w:rsid w:val="006B77DA"/>
    <w:rsid w:val="006C1FD0"/>
    <w:rsid w:val="006C5CC8"/>
    <w:rsid w:val="006D07D2"/>
    <w:rsid w:val="006D1506"/>
    <w:rsid w:val="006D5823"/>
    <w:rsid w:val="006F291B"/>
    <w:rsid w:val="006F6BDF"/>
    <w:rsid w:val="006F7856"/>
    <w:rsid w:val="00705EA8"/>
    <w:rsid w:val="00707C20"/>
    <w:rsid w:val="00711520"/>
    <w:rsid w:val="00715AA5"/>
    <w:rsid w:val="00724C36"/>
    <w:rsid w:val="007254E0"/>
    <w:rsid w:val="007260E5"/>
    <w:rsid w:val="0072743E"/>
    <w:rsid w:val="007314C4"/>
    <w:rsid w:val="0073287C"/>
    <w:rsid w:val="00732AAA"/>
    <w:rsid w:val="00733791"/>
    <w:rsid w:val="0073436D"/>
    <w:rsid w:val="00753641"/>
    <w:rsid w:val="00753E62"/>
    <w:rsid w:val="00763C6D"/>
    <w:rsid w:val="00764D40"/>
    <w:rsid w:val="007666A3"/>
    <w:rsid w:val="00781729"/>
    <w:rsid w:val="0078354B"/>
    <w:rsid w:val="00783BA3"/>
    <w:rsid w:val="00787283"/>
    <w:rsid w:val="007914A4"/>
    <w:rsid w:val="0079715D"/>
    <w:rsid w:val="007A3CBA"/>
    <w:rsid w:val="007A649F"/>
    <w:rsid w:val="007A70A7"/>
    <w:rsid w:val="007B7D13"/>
    <w:rsid w:val="007C07F0"/>
    <w:rsid w:val="007C0998"/>
    <w:rsid w:val="007C78B5"/>
    <w:rsid w:val="007D0CD0"/>
    <w:rsid w:val="007D29AA"/>
    <w:rsid w:val="007E6BB6"/>
    <w:rsid w:val="007E7E1D"/>
    <w:rsid w:val="007F4AD4"/>
    <w:rsid w:val="007F6AC2"/>
    <w:rsid w:val="00800740"/>
    <w:rsid w:val="008053D7"/>
    <w:rsid w:val="00806383"/>
    <w:rsid w:val="00810692"/>
    <w:rsid w:val="00811B8E"/>
    <w:rsid w:val="00812B52"/>
    <w:rsid w:val="00813032"/>
    <w:rsid w:val="00813284"/>
    <w:rsid w:val="008137F4"/>
    <w:rsid w:val="00815F66"/>
    <w:rsid w:val="008201AB"/>
    <w:rsid w:val="008206A6"/>
    <w:rsid w:val="00824427"/>
    <w:rsid w:val="0082662B"/>
    <w:rsid w:val="00827083"/>
    <w:rsid w:val="0083064A"/>
    <w:rsid w:val="00830DE7"/>
    <w:rsid w:val="00832298"/>
    <w:rsid w:val="008406FE"/>
    <w:rsid w:val="00842C3D"/>
    <w:rsid w:val="008438F7"/>
    <w:rsid w:val="00845694"/>
    <w:rsid w:val="00846E32"/>
    <w:rsid w:val="0084732C"/>
    <w:rsid w:val="00854943"/>
    <w:rsid w:val="00855354"/>
    <w:rsid w:val="008655EC"/>
    <w:rsid w:val="008671C0"/>
    <w:rsid w:val="008703A8"/>
    <w:rsid w:val="0087209A"/>
    <w:rsid w:val="00872231"/>
    <w:rsid w:val="00872605"/>
    <w:rsid w:val="00872F86"/>
    <w:rsid w:val="00875238"/>
    <w:rsid w:val="00875E5C"/>
    <w:rsid w:val="008767BE"/>
    <w:rsid w:val="00882862"/>
    <w:rsid w:val="0088476A"/>
    <w:rsid w:val="008958BF"/>
    <w:rsid w:val="008A12F9"/>
    <w:rsid w:val="008A1919"/>
    <w:rsid w:val="008A32D5"/>
    <w:rsid w:val="008A560E"/>
    <w:rsid w:val="008A5B79"/>
    <w:rsid w:val="008A6353"/>
    <w:rsid w:val="008B1FA1"/>
    <w:rsid w:val="008B3114"/>
    <w:rsid w:val="008B6523"/>
    <w:rsid w:val="008C1A0A"/>
    <w:rsid w:val="008C3906"/>
    <w:rsid w:val="008C6CA4"/>
    <w:rsid w:val="008D3DBB"/>
    <w:rsid w:val="008E07F8"/>
    <w:rsid w:val="008E13E8"/>
    <w:rsid w:val="008E3CF6"/>
    <w:rsid w:val="008F250E"/>
    <w:rsid w:val="008F4C4B"/>
    <w:rsid w:val="009019F7"/>
    <w:rsid w:val="009062F6"/>
    <w:rsid w:val="00910DE2"/>
    <w:rsid w:val="009127AD"/>
    <w:rsid w:val="00914769"/>
    <w:rsid w:val="0091673C"/>
    <w:rsid w:val="009203EB"/>
    <w:rsid w:val="0092173D"/>
    <w:rsid w:val="0092208E"/>
    <w:rsid w:val="00922AAA"/>
    <w:rsid w:val="00933A59"/>
    <w:rsid w:val="00941BCB"/>
    <w:rsid w:val="00946DDF"/>
    <w:rsid w:val="00952ABD"/>
    <w:rsid w:val="0095337F"/>
    <w:rsid w:val="009539D1"/>
    <w:rsid w:val="00957A1B"/>
    <w:rsid w:val="00961474"/>
    <w:rsid w:val="009626E0"/>
    <w:rsid w:val="0096329D"/>
    <w:rsid w:val="009676F5"/>
    <w:rsid w:val="0096794A"/>
    <w:rsid w:val="0097067D"/>
    <w:rsid w:val="00971F5A"/>
    <w:rsid w:val="00974A3A"/>
    <w:rsid w:val="00976DC8"/>
    <w:rsid w:val="00980A52"/>
    <w:rsid w:val="00981913"/>
    <w:rsid w:val="00984D04"/>
    <w:rsid w:val="00986865"/>
    <w:rsid w:val="0099187A"/>
    <w:rsid w:val="009919D0"/>
    <w:rsid w:val="00993DAF"/>
    <w:rsid w:val="00993FF1"/>
    <w:rsid w:val="00994181"/>
    <w:rsid w:val="009A5C98"/>
    <w:rsid w:val="009A6188"/>
    <w:rsid w:val="009A6EC4"/>
    <w:rsid w:val="009A748C"/>
    <w:rsid w:val="009B0345"/>
    <w:rsid w:val="009B0E52"/>
    <w:rsid w:val="009B2644"/>
    <w:rsid w:val="009B49FA"/>
    <w:rsid w:val="009C7B69"/>
    <w:rsid w:val="009D0197"/>
    <w:rsid w:val="009D2CA2"/>
    <w:rsid w:val="009D2F2E"/>
    <w:rsid w:val="009D2FA1"/>
    <w:rsid w:val="009D4AF6"/>
    <w:rsid w:val="009D7697"/>
    <w:rsid w:val="009E1E6A"/>
    <w:rsid w:val="009F3F72"/>
    <w:rsid w:val="009F5C11"/>
    <w:rsid w:val="009F600D"/>
    <w:rsid w:val="009F73A4"/>
    <w:rsid w:val="009F790C"/>
    <w:rsid w:val="00A00924"/>
    <w:rsid w:val="00A027F1"/>
    <w:rsid w:val="00A03697"/>
    <w:rsid w:val="00A076B3"/>
    <w:rsid w:val="00A13EDA"/>
    <w:rsid w:val="00A13EFF"/>
    <w:rsid w:val="00A25981"/>
    <w:rsid w:val="00A279EC"/>
    <w:rsid w:val="00A308DF"/>
    <w:rsid w:val="00A317DF"/>
    <w:rsid w:val="00A4067A"/>
    <w:rsid w:val="00A42651"/>
    <w:rsid w:val="00A5202E"/>
    <w:rsid w:val="00A52C63"/>
    <w:rsid w:val="00A55329"/>
    <w:rsid w:val="00A638A5"/>
    <w:rsid w:val="00A7142F"/>
    <w:rsid w:val="00A71B76"/>
    <w:rsid w:val="00A747FB"/>
    <w:rsid w:val="00A76E73"/>
    <w:rsid w:val="00A77D52"/>
    <w:rsid w:val="00A84A4D"/>
    <w:rsid w:val="00A90CD7"/>
    <w:rsid w:val="00A94DCA"/>
    <w:rsid w:val="00A95559"/>
    <w:rsid w:val="00A96F18"/>
    <w:rsid w:val="00AA0601"/>
    <w:rsid w:val="00AA0981"/>
    <w:rsid w:val="00AA7961"/>
    <w:rsid w:val="00AB5FBE"/>
    <w:rsid w:val="00AB714F"/>
    <w:rsid w:val="00AB7BD5"/>
    <w:rsid w:val="00AC6128"/>
    <w:rsid w:val="00AD3363"/>
    <w:rsid w:val="00AE1894"/>
    <w:rsid w:val="00AE197F"/>
    <w:rsid w:val="00AE252A"/>
    <w:rsid w:val="00AE5077"/>
    <w:rsid w:val="00AE52BB"/>
    <w:rsid w:val="00AE55AB"/>
    <w:rsid w:val="00AE6174"/>
    <w:rsid w:val="00AF218A"/>
    <w:rsid w:val="00B06334"/>
    <w:rsid w:val="00B06530"/>
    <w:rsid w:val="00B07182"/>
    <w:rsid w:val="00B12A45"/>
    <w:rsid w:val="00B13C98"/>
    <w:rsid w:val="00B14F3A"/>
    <w:rsid w:val="00B217FF"/>
    <w:rsid w:val="00B22F27"/>
    <w:rsid w:val="00B25C66"/>
    <w:rsid w:val="00B27CDB"/>
    <w:rsid w:val="00B40171"/>
    <w:rsid w:val="00B403CC"/>
    <w:rsid w:val="00B42B2B"/>
    <w:rsid w:val="00B443DF"/>
    <w:rsid w:val="00B457DF"/>
    <w:rsid w:val="00B51C48"/>
    <w:rsid w:val="00B53A79"/>
    <w:rsid w:val="00B75F6D"/>
    <w:rsid w:val="00B80A4C"/>
    <w:rsid w:val="00B8629E"/>
    <w:rsid w:val="00B90553"/>
    <w:rsid w:val="00B9483B"/>
    <w:rsid w:val="00B97966"/>
    <w:rsid w:val="00BA2758"/>
    <w:rsid w:val="00BC2F0E"/>
    <w:rsid w:val="00BC6F2A"/>
    <w:rsid w:val="00BC75F8"/>
    <w:rsid w:val="00BD08F1"/>
    <w:rsid w:val="00BD3381"/>
    <w:rsid w:val="00BD3FE6"/>
    <w:rsid w:val="00BD7D20"/>
    <w:rsid w:val="00BE591D"/>
    <w:rsid w:val="00BE5E2D"/>
    <w:rsid w:val="00BE5F83"/>
    <w:rsid w:val="00BE6182"/>
    <w:rsid w:val="00C0077E"/>
    <w:rsid w:val="00C04F05"/>
    <w:rsid w:val="00C122D0"/>
    <w:rsid w:val="00C1459D"/>
    <w:rsid w:val="00C17503"/>
    <w:rsid w:val="00C223FA"/>
    <w:rsid w:val="00C23167"/>
    <w:rsid w:val="00C271D9"/>
    <w:rsid w:val="00C2761C"/>
    <w:rsid w:val="00C340C2"/>
    <w:rsid w:val="00C34E34"/>
    <w:rsid w:val="00C36D9C"/>
    <w:rsid w:val="00C45C9E"/>
    <w:rsid w:val="00C47EE6"/>
    <w:rsid w:val="00C51847"/>
    <w:rsid w:val="00C53729"/>
    <w:rsid w:val="00C54446"/>
    <w:rsid w:val="00C54D11"/>
    <w:rsid w:val="00C64F87"/>
    <w:rsid w:val="00C67722"/>
    <w:rsid w:val="00C719F2"/>
    <w:rsid w:val="00C71E5E"/>
    <w:rsid w:val="00C83C6D"/>
    <w:rsid w:val="00C938B2"/>
    <w:rsid w:val="00C96B57"/>
    <w:rsid w:val="00CA633F"/>
    <w:rsid w:val="00CA6A59"/>
    <w:rsid w:val="00CA7643"/>
    <w:rsid w:val="00CB4F95"/>
    <w:rsid w:val="00CB5979"/>
    <w:rsid w:val="00CB6721"/>
    <w:rsid w:val="00CD000B"/>
    <w:rsid w:val="00CD1082"/>
    <w:rsid w:val="00CD6888"/>
    <w:rsid w:val="00CE3834"/>
    <w:rsid w:val="00CE3AF0"/>
    <w:rsid w:val="00CF03AC"/>
    <w:rsid w:val="00CF07A6"/>
    <w:rsid w:val="00CF2428"/>
    <w:rsid w:val="00CF26DA"/>
    <w:rsid w:val="00CF31A0"/>
    <w:rsid w:val="00CF4157"/>
    <w:rsid w:val="00CF42C0"/>
    <w:rsid w:val="00D01174"/>
    <w:rsid w:val="00D013C1"/>
    <w:rsid w:val="00D05C07"/>
    <w:rsid w:val="00D05E23"/>
    <w:rsid w:val="00D0706A"/>
    <w:rsid w:val="00D10580"/>
    <w:rsid w:val="00D12890"/>
    <w:rsid w:val="00D12B27"/>
    <w:rsid w:val="00D13D67"/>
    <w:rsid w:val="00D17015"/>
    <w:rsid w:val="00D2029C"/>
    <w:rsid w:val="00D218DD"/>
    <w:rsid w:val="00D30B21"/>
    <w:rsid w:val="00D30EFC"/>
    <w:rsid w:val="00D3399A"/>
    <w:rsid w:val="00D3493E"/>
    <w:rsid w:val="00D40554"/>
    <w:rsid w:val="00D41A18"/>
    <w:rsid w:val="00D41EC0"/>
    <w:rsid w:val="00D45947"/>
    <w:rsid w:val="00D46157"/>
    <w:rsid w:val="00D51C4E"/>
    <w:rsid w:val="00D52150"/>
    <w:rsid w:val="00D521D2"/>
    <w:rsid w:val="00D5317D"/>
    <w:rsid w:val="00D535D5"/>
    <w:rsid w:val="00D55AAB"/>
    <w:rsid w:val="00D60562"/>
    <w:rsid w:val="00D61C74"/>
    <w:rsid w:val="00D631AC"/>
    <w:rsid w:val="00D701CE"/>
    <w:rsid w:val="00D72039"/>
    <w:rsid w:val="00D80A24"/>
    <w:rsid w:val="00D828EB"/>
    <w:rsid w:val="00D84508"/>
    <w:rsid w:val="00D84FDF"/>
    <w:rsid w:val="00D8536C"/>
    <w:rsid w:val="00D87C54"/>
    <w:rsid w:val="00D935F1"/>
    <w:rsid w:val="00D955BA"/>
    <w:rsid w:val="00DA6AF4"/>
    <w:rsid w:val="00DC3728"/>
    <w:rsid w:val="00DC3CAB"/>
    <w:rsid w:val="00DC41BF"/>
    <w:rsid w:val="00DD1B4D"/>
    <w:rsid w:val="00DD2594"/>
    <w:rsid w:val="00DD4AAD"/>
    <w:rsid w:val="00DE45E4"/>
    <w:rsid w:val="00DE5D5F"/>
    <w:rsid w:val="00DE6752"/>
    <w:rsid w:val="00DE7EC5"/>
    <w:rsid w:val="00DF18A1"/>
    <w:rsid w:val="00DF191A"/>
    <w:rsid w:val="00DF5EA4"/>
    <w:rsid w:val="00E00A42"/>
    <w:rsid w:val="00E04A09"/>
    <w:rsid w:val="00E04D04"/>
    <w:rsid w:val="00E1104A"/>
    <w:rsid w:val="00E11B26"/>
    <w:rsid w:val="00E16CB5"/>
    <w:rsid w:val="00E2007E"/>
    <w:rsid w:val="00E210DC"/>
    <w:rsid w:val="00E21A43"/>
    <w:rsid w:val="00E31351"/>
    <w:rsid w:val="00E34798"/>
    <w:rsid w:val="00E3737B"/>
    <w:rsid w:val="00E37908"/>
    <w:rsid w:val="00E4090D"/>
    <w:rsid w:val="00E41A2A"/>
    <w:rsid w:val="00E44574"/>
    <w:rsid w:val="00E447E9"/>
    <w:rsid w:val="00E4738C"/>
    <w:rsid w:val="00E501B0"/>
    <w:rsid w:val="00E512F9"/>
    <w:rsid w:val="00E51764"/>
    <w:rsid w:val="00E66503"/>
    <w:rsid w:val="00E7139B"/>
    <w:rsid w:val="00E71732"/>
    <w:rsid w:val="00E7636F"/>
    <w:rsid w:val="00E804FE"/>
    <w:rsid w:val="00E838D5"/>
    <w:rsid w:val="00E84510"/>
    <w:rsid w:val="00E86D60"/>
    <w:rsid w:val="00E94F6A"/>
    <w:rsid w:val="00E96862"/>
    <w:rsid w:val="00EA2C8A"/>
    <w:rsid w:val="00EA74B2"/>
    <w:rsid w:val="00EB15FF"/>
    <w:rsid w:val="00EB4D19"/>
    <w:rsid w:val="00EC2C9E"/>
    <w:rsid w:val="00EC39C8"/>
    <w:rsid w:val="00EC6FDD"/>
    <w:rsid w:val="00ED44A1"/>
    <w:rsid w:val="00EE229D"/>
    <w:rsid w:val="00EE62D4"/>
    <w:rsid w:val="00EF26D5"/>
    <w:rsid w:val="00EF3C00"/>
    <w:rsid w:val="00EF5799"/>
    <w:rsid w:val="00F001AE"/>
    <w:rsid w:val="00F00FC5"/>
    <w:rsid w:val="00F047FB"/>
    <w:rsid w:val="00F104E8"/>
    <w:rsid w:val="00F10ADE"/>
    <w:rsid w:val="00F10F87"/>
    <w:rsid w:val="00F14835"/>
    <w:rsid w:val="00F155B3"/>
    <w:rsid w:val="00F168F0"/>
    <w:rsid w:val="00F204A2"/>
    <w:rsid w:val="00F23B3C"/>
    <w:rsid w:val="00F2566F"/>
    <w:rsid w:val="00F27879"/>
    <w:rsid w:val="00F36054"/>
    <w:rsid w:val="00F43A3D"/>
    <w:rsid w:val="00F468D3"/>
    <w:rsid w:val="00F46F21"/>
    <w:rsid w:val="00F475D4"/>
    <w:rsid w:val="00F51588"/>
    <w:rsid w:val="00F53717"/>
    <w:rsid w:val="00F56403"/>
    <w:rsid w:val="00F65AED"/>
    <w:rsid w:val="00F67262"/>
    <w:rsid w:val="00F67986"/>
    <w:rsid w:val="00F70809"/>
    <w:rsid w:val="00F83FF4"/>
    <w:rsid w:val="00F8595E"/>
    <w:rsid w:val="00F90034"/>
    <w:rsid w:val="00F90C0E"/>
    <w:rsid w:val="00F9277E"/>
    <w:rsid w:val="00F9569A"/>
    <w:rsid w:val="00F96D3D"/>
    <w:rsid w:val="00FA572A"/>
    <w:rsid w:val="00FB18AD"/>
    <w:rsid w:val="00FC22B6"/>
    <w:rsid w:val="00FC2AB3"/>
    <w:rsid w:val="00FC3234"/>
    <w:rsid w:val="00FD199C"/>
    <w:rsid w:val="00FD7AF4"/>
    <w:rsid w:val="00FE1397"/>
    <w:rsid w:val="00FE4098"/>
    <w:rsid w:val="00FE59BF"/>
    <w:rsid w:val="00FE7958"/>
    <w:rsid w:val="00FE7997"/>
    <w:rsid w:val="00FE79D1"/>
    <w:rsid w:val="00FE7C10"/>
    <w:rsid w:val="00FE7DF2"/>
    <w:rsid w:val="00FF780B"/>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8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3A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83AC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067F9C"/>
    <w:pPr>
      <w:ind w:left="720"/>
      <w:contextualSpacing/>
    </w:pPr>
  </w:style>
  <w:style w:type="character" w:styleId="Hyperlink">
    <w:name w:val="Hyperlink"/>
    <w:basedOn w:val="DefaultParagraphFont"/>
    <w:uiPriority w:val="99"/>
    <w:rsid w:val="006538A1"/>
    <w:rPr>
      <w:rFonts w:cs="Times New Roman"/>
      <w:color w:val="0000FF"/>
      <w:u w:val="single"/>
    </w:rPr>
  </w:style>
  <w:style w:type="paragraph" w:styleId="NoSpacing">
    <w:name w:val="No Spacing"/>
    <w:uiPriority w:val="99"/>
    <w:qFormat/>
    <w:rsid w:val="00456731"/>
  </w:style>
  <w:style w:type="paragraph" w:styleId="BalloonText">
    <w:name w:val="Balloon Text"/>
    <w:basedOn w:val="Normal"/>
    <w:link w:val="BalloonTextChar"/>
    <w:uiPriority w:val="99"/>
    <w:semiHidden/>
    <w:rsid w:val="0047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1F19"/>
    <w:rPr>
      <w:rFonts w:ascii="Tahoma" w:hAnsi="Tahoma" w:cs="Tahoma"/>
      <w:sz w:val="16"/>
      <w:szCs w:val="16"/>
    </w:rPr>
  </w:style>
  <w:style w:type="character" w:customStyle="1" w:styleId="apple-style-span">
    <w:name w:val="apple-style-span"/>
    <w:basedOn w:val="DefaultParagraphFont"/>
    <w:uiPriority w:val="99"/>
    <w:rsid w:val="00502887"/>
    <w:rPr>
      <w:rFonts w:cs="Times New Roman"/>
    </w:rPr>
  </w:style>
  <w:style w:type="character" w:customStyle="1" w:styleId="apple-converted-space">
    <w:name w:val="apple-converted-space"/>
    <w:basedOn w:val="DefaultParagraphFont"/>
    <w:uiPriority w:val="99"/>
    <w:rsid w:val="00502887"/>
    <w:rPr>
      <w:rFonts w:cs="Times New Roman"/>
    </w:rPr>
  </w:style>
  <w:style w:type="paragraph" w:styleId="Header">
    <w:name w:val="header"/>
    <w:basedOn w:val="Normal"/>
    <w:link w:val="HeaderChar"/>
    <w:uiPriority w:val="99"/>
    <w:rsid w:val="00BD08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D08F1"/>
    <w:rPr>
      <w:rFonts w:cs="Times New Roman"/>
    </w:rPr>
  </w:style>
  <w:style w:type="paragraph" w:styleId="Footer">
    <w:name w:val="footer"/>
    <w:basedOn w:val="Normal"/>
    <w:link w:val="FooterChar"/>
    <w:uiPriority w:val="99"/>
    <w:rsid w:val="00BD08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D08F1"/>
    <w:rPr>
      <w:rFonts w:cs="Times New Roman"/>
    </w:rPr>
  </w:style>
  <w:style w:type="character" w:styleId="CommentReference">
    <w:name w:val="annotation reference"/>
    <w:basedOn w:val="DefaultParagraphFont"/>
    <w:uiPriority w:val="99"/>
    <w:semiHidden/>
    <w:rsid w:val="005B7775"/>
    <w:rPr>
      <w:rFonts w:cs="Times New Roman"/>
      <w:sz w:val="16"/>
      <w:szCs w:val="16"/>
    </w:rPr>
  </w:style>
  <w:style w:type="paragraph" w:styleId="CommentText">
    <w:name w:val="annotation text"/>
    <w:basedOn w:val="Normal"/>
    <w:link w:val="CommentTextChar"/>
    <w:uiPriority w:val="99"/>
    <w:semiHidden/>
    <w:rsid w:val="005B77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7775"/>
    <w:rPr>
      <w:rFonts w:cs="Times New Roman"/>
      <w:sz w:val="20"/>
      <w:szCs w:val="20"/>
    </w:rPr>
  </w:style>
  <w:style w:type="paragraph" w:styleId="CommentSubject">
    <w:name w:val="annotation subject"/>
    <w:basedOn w:val="CommentText"/>
    <w:next w:val="CommentText"/>
    <w:link w:val="CommentSubjectChar"/>
    <w:uiPriority w:val="99"/>
    <w:semiHidden/>
    <w:rsid w:val="005B7775"/>
    <w:rPr>
      <w:b/>
      <w:bCs/>
    </w:rPr>
  </w:style>
  <w:style w:type="character" w:customStyle="1" w:styleId="CommentSubjectChar">
    <w:name w:val="Comment Subject Char"/>
    <w:basedOn w:val="CommentTextChar"/>
    <w:link w:val="CommentSubject"/>
    <w:uiPriority w:val="99"/>
    <w:semiHidden/>
    <w:locked/>
    <w:rsid w:val="005B777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3A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83AC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067F9C"/>
    <w:pPr>
      <w:ind w:left="720"/>
      <w:contextualSpacing/>
    </w:pPr>
  </w:style>
  <w:style w:type="character" w:styleId="Hyperlink">
    <w:name w:val="Hyperlink"/>
    <w:basedOn w:val="DefaultParagraphFont"/>
    <w:uiPriority w:val="99"/>
    <w:rsid w:val="006538A1"/>
    <w:rPr>
      <w:rFonts w:cs="Times New Roman"/>
      <w:color w:val="0000FF"/>
      <w:u w:val="single"/>
    </w:rPr>
  </w:style>
  <w:style w:type="paragraph" w:styleId="NoSpacing">
    <w:name w:val="No Spacing"/>
    <w:uiPriority w:val="99"/>
    <w:qFormat/>
    <w:rsid w:val="00456731"/>
  </w:style>
  <w:style w:type="paragraph" w:styleId="BalloonText">
    <w:name w:val="Balloon Text"/>
    <w:basedOn w:val="Normal"/>
    <w:link w:val="BalloonTextChar"/>
    <w:uiPriority w:val="99"/>
    <w:semiHidden/>
    <w:rsid w:val="0047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1F19"/>
    <w:rPr>
      <w:rFonts w:ascii="Tahoma" w:hAnsi="Tahoma" w:cs="Tahoma"/>
      <w:sz w:val="16"/>
      <w:szCs w:val="16"/>
    </w:rPr>
  </w:style>
  <w:style w:type="character" w:customStyle="1" w:styleId="apple-style-span">
    <w:name w:val="apple-style-span"/>
    <w:basedOn w:val="DefaultParagraphFont"/>
    <w:uiPriority w:val="99"/>
    <w:rsid w:val="00502887"/>
    <w:rPr>
      <w:rFonts w:cs="Times New Roman"/>
    </w:rPr>
  </w:style>
  <w:style w:type="character" w:customStyle="1" w:styleId="apple-converted-space">
    <w:name w:val="apple-converted-space"/>
    <w:basedOn w:val="DefaultParagraphFont"/>
    <w:uiPriority w:val="99"/>
    <w:rsid w:val="00502887"/>
    <w:rPr>
      <w:rFonts w:cs="Times New Roman"/>
    </w:rPr>
  </w:style>
  <w:style w:type="paragraph" w:styleId="Header">
    <w:name w:val="header"/>
    <w:basedOn w:val="Normal"/>
    <w:link w:val="HeaderChar"/>
    <w:uiPriority w:val="99"/>
    <w:rsid w:val="00BD08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D08F1"/>
    <w:rPr>
      <w:rFonts w:cs="Times New Roman"/>
    </w:rPr>
  </w:style>
  <w:style w:type="paragraph" w:styleId="Footer">
    <w:name w:val="footer"/>
    <w:basedOn w:val="Normal"/>
    <w:link w:val="FooterChar"/>
    <w:uiPriority w:val="99"/>
    <w:rsid w:val="00BD08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D08F1"/>
    <w:rPr>
      <w:rFonts w:cs="Times New Roman"/>
    </w:rPr>
  </w:style>
  <w:style w:type="character" w:styleId="CommentReference">
    <w:name w:val="annotation reference"/>
    <w:basedOn w:val="DefaultParagraphFont"/>
    <w:uiPriority w:val="99"/>
    <w:semiHidden/>
    <w:rsid w:val="005B7775"/>
    <w:rPr>
      <w:rFonts w:cs="Times New Roman"/>
      <w:sz w:val="16"/>
      <w:szCs w:val="16"/>
    </w:rPr>
  </w:style>
  <w:style w:type="paragraph" w:styleId="CommentText">
    <w:name w:val="annotation text"/>
    <w:basedOn w:val="Normal"/>
    <w:link w:val="CommentTextChar"/>
    <w:uiPriority w:val="99"/>
    <w:semiHidden/>
    <w:rsid w:val="005B77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7775"/>
    <w:rPr>
      <w:rFonts w:cs="Times New Roman"/>
      <w:sz w:val="20"/>
      <w:szCs w:val="20"/>
    </w:rPr>
  </w:style>
  <w:style w:type="paragraph" w:styleId="CommentSubject">
    <w:name w:val="annotation subject"/>
    <w:basedOn w:val="CommentText"/>
    <w:next w:val="CommentText"/>
    <w:link w:val="CommentSubjectChar"/>
    <w:uiPriority w:val="99"/>
    <w:semiHidden/>
    <w:rsid w:val="005B7775"/>
    <w:rPr>
      <w:b/>
      <w:bCs/>
    </w:rPr>
  </w:style>
  <w:style w:type="character" w:customStyle="1" w:styleId="CommentSubjectChar">
    <w:name w:val="Comment Subject Char"/>
    <w:basedOn w:val="CommentTextChar"/>
    <w:link w:val="CommentSubject"/>
    <w:uiPriority w:val="99"/>
    <w:semiHidden/>
    <w:locked/>
    <w:rsid w:val="005B777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8185">
      <w:marLeft w:val="0"/>
      <w:marRight w:val="0"/>
      <w:marTop w:val="0"/>
      <w:marBottom w:val="0"/>
      <w:divBdr>
        <w:top w:val="none" w:sz="0" w:space="0" w:color="auto"/>
        <w:left w:val="none" w:sz="0" w:space="0" w:color="auto"/>
        <w:bottom w:val="none" w:sz="0" w:space="0" w:color="auto"/>
        <w:right w:val="none" w:sz="0" w:space="0" w:color="auto"/>
      </w:divBdr>
      <w:divsChild>
        <w:div w:id="1191528184">
          <w:marLeft w:val="0"/>
          <w:marRight w:val="0"/>
          <w:marTop w:val="0"/>
          <w:marBottom w:val="0"/>
          <w:divBdr>
            <w:top w:val="none" w:sz="0" w:space="0" w:color="auto"/>
            <w:left w:val="none" w:sz="0" w:space="0" w:color="auto"/>
            <w:bottom w:val="none" w:sz="0" w:space="0" w:color="auto"/>
            <w:right w:val="none" w:sz="0" w:space="0" w:color="auto"/>
          </w:divBdr>
          <w:divsChild>
            <w:div w:id="1191528188">
              <w:marLeft w:val="0"/>
              <w:marRight w:val="0"/>
              <w:marTop w:val="0"/>
              <w:marBottom w:val="0"/>
              <w:divBdr>
                <w:top w:val="none" w:sz="0" w:space="0" w:color="auto"/>
                <w:left w:val="none" w:sz="0" w:space="0" w:color="auto"/>
                <w:bottom w:val="none" w:sz="0" w:space="0" w:color="auto"/>
                <w:right w:val="none" w:sz="0" w:space="0" w:color="auto"/>
              </w:divBdr>
              <w:divsChild>
                <w:div w:id="1191528183">
                  <w:marLeft w:val="0"/>
                  <w:marRight w:val="0"/>
                  <w:marTop w:val="0"/>
                  <w:marBottom w:val="0"/>
                  <w:divBdr>
                    <w:top w:val="none" w:sz="0" w:space="0" w:color="auto"/>
                    <w:left w:val="none" w:sz="0" w:space="0" w:color="auto"/>
                    <w:bottom w:val="none" w:sz="0" w:space="0" w:color="auto"/>
                    <w:right w:val="none" w:sz="0" w:space="0" w:color="auto"/>
                  </w:divBdr>
                  <w:divsChild>
                    <w:div w:id="1191528186">
                      <w:marLeft w:val="0"/>
                      <w:marRight w:val="0"/>
                      <w:marTop w:val="0"/>
                      <w:marBottom w:val="0"/>
                      <w:divBdr>
                        <w:top w:val="none" w:sz="0" w:space="0" w:color="auto"/>
                        <w:left w:val="none" w:sz="0" w:space="0" w:color="auto"/>
                        <w:bottom w:val="none" w:sz="0" w:space="0" w:color="auto"/>
                        <w:right w:val="none" w:sz="0" w:space="0" w:color="auto"/>
                      </w:divBdr>
                      <w:divsChild>
                        <w:div w:id="11915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 Release: Feb</vt:lpstr>
    </vt:vector>
  </TitlesOfParts>
  <Company>GM</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 Feb</dc:title>
  <dc:creator>James R Cain</dc:creator>
  <cp:lastModifiedBy>Jeff</cp:lastModifiedBy>
  <cp:revision>4</cp:revision>
  <cp:lastPrinted>2013-02-13T22:48:00Z</cp:lastPrinted>
  <dcterms:created xsi:type="dcterms:W3CDTF">2013-02-14T09:27:00Z</dcterms:created>
  <dcterms:modified xsi:type="dcterms:W3CDTF">2013-02-14T14:10:00Z</dcterms:modified>
</cp:coreProperties>
</file>